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5F4" w:rsidRDefault="00A265F4">
      <w:r>
        <w:rPr>
          <w:noProof/>
        </w:rPr>
        <w:drawing>
          <wp:inline distT="0" distB="0" distL="0" distR="0" wp14:anchorId="11360EBD" wp14:editId="61E0152A">
            <wp:extent cx="1494790" cy="2024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C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348" cy="2026515"/>
                    </a:xfrm>
                    <a:prstGeom prst="rect">
                      <a:avLst/>
                    </a:prstGeom>
                  </pic:spPr>
                </pic:pic>
              </a:graphicData>
            </a:graphic>
          </wp:inline>
        </w:drawing>
      </w:r>
    </w:p>
    <w:p w:rsidR="00A265F4" w:rsidRDefault="00A265F4"/>
    <w:p w:rsidR="00A265F4" w:rsidRDefault="00A265F4" w:rsidP="00AB156C"/>
    <w:p w:rsidR="00A265F4" w:rsidRDefault="00A265F4" w:rsidP="00AB156C">
      <w:pPr>
        <w:rPr>
          <w:sz w:val="40"/>
          <w:szCs w:val="40"/>
        </w:rPr>
      </w:pPr>
    </w:p>
    <w:p w:rsidR="00244B2D" w:rsidRPr="00AB156C" w:rsidRDefault="00A265F4" w:rsidP="00AB156C">
      <w:pPr>
        <w:jc w:val="center"/>
        <w:rPr>
          <w:sz w:val="40"/>
          <w:szCs w:val="40"/>
        </w:rPr>
      </w:pPr>
      <w:r w:rsidRPr="00AB156C">
        <w:rPr>
          <w:sz w:val="40"/>
          <w:szCs w:val="40"/>
        </w:rPr>
        <w:t>TREC: Badlands Head Start</w:t>
      </w:r>
    </w:p>
    <w:p w:rsidR="00A265F4" w:rsidRPr="00AB156C" w:rsidRDefault="00A265F4" w:rsidP="0073482A">
      <w:pPr>
        <w:rPr>
          <w:sz w:val="40"/>
          <w:szCs w:val="40"/>
        </w:rPr>
      </w:pPr>
    </w:p>
    <w:p w:rsidR="00A265F4" w:rsidRPr="00AB156C" w:rsidRDefault="00A265F4" w:rsidP="00A265F4">
      <w:pPr>
        <w:jc w:val="center"/>
        <w:rPr>
          <w:sz w:val="40"/>
          <w:szCs w:val="40"/>
        </w:rPr>
      </w:pPr>
      <w:r w:rsidRPr="00AB156C">
        <w:rPr>
          <w:sz w:val="40"/>
          <w:szCs w:val="40"/>
        </w:rPr>
        <w:t>Community Needs Assessment</w:t>
      </w:r>
      <w:r w:rsidR="00AB156C">
        <w:rPr>
          <w:sz w:val="40"/>
          <w:szCs w:val="40"/>
        </w:rPr>
        <w:t>:</w:t>
      </w:r>
      <w:r w:rsidRPr="00AB156C">
        <w:rPr>
          <w:sz w:val="40"/>
          <w:szCs w:val="40"/>
        </w:rPr>
        <w:t xml:space="preserve"> 2014-15</w:t>
      </w:r>
    </w:p>
    <w:p w:rsidR="00A265F4" w:rsidRPr="00AB156C" w:rsidRDefault="00A265F4" w:rsidP="00A265F4">
      <w:pPr>
        <w:jc w:val="center"/>
        <w:rPr>
          <w:sz w:val="40"/>
          <w:szCs w:val="40"/>
        </w:rPr>
      </w:pPr>
    </w:p>
    <w:p w:rsidR="00A265F4" w:rsidRPr="00AB156C" w:rsidRDefault="00AB156C" w:rsidP="00A265F4">
      <w:pPr>
        <w:rPr>
          <w:sz w:val="40"/>
          <w:szCs w:val="40"/>
        </w:rPr>
      </w:pPr>
      <w:r>
        <w:rPr>
          <w:noProof/>
        </w:rPr>
        <w:drawing>
          <wp:anchor distT="0" distB="0" distL="114300" distR="114300" simplePos="0" relativeHeight="251658240" behindDoc="0" locked="0" layoutInCell="1" allowOverlap="1" wp14:anchorId="6C98E869" wp14:editId="41190386">
            <wp:simplePos x="914400" y="6965315"/>
            <wp:positionH relativeFrom="margin">
              <wp:align>right</wp:align>
            </wp:positionH>
            <wp:positionV relativeFrom="margin">
              <wp:align>bottom</wp:align>
            </wp:positionV>
            <wp:extent cx="2105660" cy="212280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_Start_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5660" cy="2122805"/>
                    </a:xfrm>
                    <a:prstGeom prst="rect">
                      <a:avLst/>
                    </a:prstGeom>
                  </pic:spPr>
                </pic:pic>
              </a:graphicData>
            </a:graphic>
          </wp:anchor>
        </w:drawing>
      </w:r>
    </w:p>
    <w:p w:rsidR="00A265F4" w:rsidRDefault="00A265F4" w:rsidP="00A265F4">
      <w:pPr>
        <w:jc w:val="center"/>
      </w:pPr>
    </w:p>
    <w:p w:rsidR="00A265F4" w:rsidRDefault="00A265F4" w:rsidP="00AB156C"/>
    <w:p w:rsidR="00A265F4" w:rsidRDefault="00A265F4" w:rsidP="00A265F4"/>
    <w:p w:rsidR="00AB156C" w:rsidRDefault="00AB156C" w:rsidP="00A265F4"/>
    <w:p w:rsidR="00AB156C" w:rsidRDefault="00AB156C" w:rsidP="00A265F4"/>
    <w:p w:rsidR="00AB156C" w:rsidRDefault="00AB156C" w:rsidP="00A265F4"/>
    <w:p w:rsidR="0073482A" w:rsidRDefault="0073482A" w:rsidP="00A265F4"/>
    <w:p w:rsidR="0073482A" w:rsidRDefault="0073482A" w:rsidP="00A265F4"/>
    <w:sdt>
      <w:sdtPr>
        <w:rPr>
          <w:b w:val="0"/>
          <w:bCs w:val="0"/>
          <w:caps w:val="0"/>
          <w:color w:val="auto"/>
          <w:spacing w:val="0"/>
          <w:sz w:val="20"/>
          <w:szCs w:val="20"/>
          <w:lang w:bidi="ar-SA"/>
        </w:rPr>
        <w:id w:val="-1735924268"/>
        <w:docPartObj>
          <w:docPartGallery w:val="Table of Contents"/>
          <w:docPartUnique/>
        </w:docPartObj>
      </w:sdtPr>
      <w:sdtEndPr>
        <w:rPr>
          <w:noProof/>
        </w:rPr>
      </w:sdtEndPr>
      <w:sdtContent>
        <w:p w:rsidR="00DC2AB5" w:rsidRDefault="00DC2AB5">
          <w:pPr>
            <w:pStyle w:val="TOCHeading"/>
          </w:pPr>
          <w:r>
            <w:t>Contents</w:t>
          </w:r>
        </w:p>
        <w:p w:rsidR="000A5A56" w:rsidRDefault="00DC2AB5">
          <w:pPr>
            <w:pStyle w:val="TOC1"/>
            <w:tabs>
              <w:tab w:val="right" w:leader="dot" w:pos="9350"/>
            </w:tabs>
            <w:rPr>
              <w:noProof/>
              <w:sz w:val="22"/>
              <w:szCs w:val="22"/>
            </w:rPr>
          </w:pPr>
          <w:r>
            <w:fldChar w:fldCharType="begin"/>
          </w:r>
          <w:r>
            <w:instrText xml:space="preserve"> TOC \o "1-3" \h \z \u </w:instrText>
          </w:r>
          <w:r>
            <w:fldChar w:fldCharType="separate"/>
          </w:r>
          <w:hyperlink w:anchor="_Toc416269423" w:history="1">
            <w:r w:rsidR="000A5A56" w:rsidRPr="00E73514">
              <w:rPr>
                <w:rStyle w:val="Hyperlink"/>
                <w:noProof/>
              </w:rPr>
              <w:t>Introduction</w:t>
            </w:r>
            <w:r w:rsidR="000A5A56">
              <w:rPr>
                <w:noProof/>
                <w:webHidden/>
              </w:rPr>
              <w:tab/>
            </w:r>
            <w:r w:rsidR="000A5A56">
              <w:rPr>
                <w:noProof/>
                <w:webHidden/>
              </w:rPr>
              <w:fldChar w:fldCharType="begin"/>
            </w:r>
            <w:r w:rsidR="000A5A56">
              <w:rPr>
                <w:noProof/>
                <w:webHidden/>
              </w:rPr>
              <w:instrText xml:space="preserve"> PAGEREF _Toc416269423 \h </w:instrText>
            </w:r>
            <w:r w:rsidR="000A5A56">
              <w:rPr>
                <w:noProof/>
                <w:webHidden/>
              </w:rPr>
            </w:r>
            <w:r w:rsidR="000A5A56">
              <w:rPr>
                <w:noProof/>
                <w:webHidden/>
              </w:rPr>
              <w:fldChar w:fldCharType="separate"/>
            </w:r>
            <w:r w:rsidR="000A5A56">
              <w:rPr>
                <w:noProof/>
                <w:webHidden/>
              </w:rPr>
              <w:t>4</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24" w:history="1">
            <w:r w:rsidR="000A5A56" w:rsidRPr="00E73514">
              <w:rPr>
                <w:rStyle w:val="Hyperlink"/>
                <w:noProof/>
              </w:rPr>
              <w:t>Demographics of Head Start/Early Head Start Eligible Children &amp; Families</w:t>
            </w:r>
            <w:r w:rsidR="000A5A56">
              <w:rPr>
                <w:noProof/>
                <w:webHidden/>
              </w:rPr>
              <w:tab/>
            </w:r>
            <w:r w:rsidR="000A5A56">
              <w:rPr>
                <w:noProof/>
                <w:webHidden/>
              </w:rPr>
              <w:fldChar w:fldCharType="begin"/>
            </w:r>
            <w:r w:rsidR="000A5A56">
              <w:rPr>
                <w:noProof/>
                <w:webHidden/>
              </w:rPr>
              <w:instrText xml:space="preserve"> PAGEREF _Toc416269424 \h </w:instrText>
            </w:r>
            <w:r w:rsidR="000A5A56">
              <w:rPr>
                <w:noProof/>
                <w:webHidden/>
              </w:rPr>
            </w:r>
            <w:r w:rsidR="000A5A56">
              <w:rPr>
                <w:noProof/>
                <w:webHidden/>
              </w:rPr>
              <w:fldChar w:fldCharType="separate"/>
            </w:r>
            <w:r w:rsidR="000A5A56">
              <w:rPr>
                <w:noProof/>
                <w:webHidden/>
              </w:rPr>
              <w:t>5</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25" w:history="1">
            <w:r w:rsidR="000A5A56" w:rsidRPr="00E73514">
              <w:rPr>
                <w:rStyle w:val="Hyperlink"/>
                <w:noProof/>
              </w:rPr>
              <w:t>Geographic makeup and overall population</w:t>
            </w:r>
            <w:r w:rsidR="000A5A56">
              <w:rPr>
                <w:noProof/>
                <w:webHidden/>
              </w:rPr>
              <w:tab/>
            </w:r>
            <w:r w:rsidR="000A5A56">
              <w:rPr>
                <w:noProof/>
                <w:webHidden/>
              </w:rPr>
              <w:fldChar w:fldCharType="begin"/>
            </w:r>
            <w:r w:rsidR="000A5A56">
              <w:rPr>
                <w:noProof/>
                <w:webHidden/>
              </w:rPr>
              <w:instrText xml:space="preserve"> PAGEREF _Toc416269425 \h </w:instrText>
            </w:r>
            <w:r w:rsidR="000A5A56">
              <w:rPr>
                <w:noProof/>
                <w:webHidden/>
              </w:rPr>
            </w:r>
            <w:r w:rsidR="000A5A56">
              <w:rPr>
                <w:noProof/>
                <w:webHidden/>
              </w:rPr>
              <w:fldChar w:fldCharType="separate"/>
            </w:r>
            <w:r w:rsidR="000A5A56">
              <w:rPr>
                <w:noProof/>
                <w:webHidden/>
              </w:rPr>
              <w:t>5</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26" w:history="1">
            <w:r w:rsidR="000A5A56" w:rsidRPr="00E73514">
              <w:rPr>
                <w:rStyle w:val="Hyperlink"/>
                <w:noProof/>
              </w:rPr>
              <w:t>Race/Ethnicity of TRec’s service area</w:t>
            </w:r>
            <w:r w:rsidR="000A5A56">
              <w:rPr>
                <w:noProof/>
                <w:webHidden/>
              </w:rPr>
              <w:tab/>
            </w:r>
            <w:r w:rsidR="000A5A56">
              <w:rPr>
                <w:noProof/>
                <w:webHidden/>
              </w:rPr>
              <w:fldChar w:fldCharType="begin"/>
            </w:r>
            <w:r w:rsidR="000A5A56">
              <w:rPr>
                <w:noProof/>
                <w:webHidden/>
              </w:rPr>
              <w:instrText xml:space="preserve"> PAGEREF _Toc416269426 \h </w:instrText>
            </w:r>
            <w:r w:rsidR="000A5A56">
              <w:rPr>
                <w:noProof/>
                <w:webHidden/>
              </w:rPr>
            </w:r>
            <w:r w:rsidR="000A5A56">
              <w:rPr>
                <w:noProof/>
                <w:webHidden/>
              </w:rPr>
              <w:fldChar w:fldCharType="separate"/>
            </w:r>
            <w:r w:rsidR="000A5A56">
              <w:rPr>
                <w:noProof/>
                <w:webHidden/>
              </w:rPr>
              <w:t>6</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27" w:history="1">
            <w:r w:rsidR="000A5A56" w:rsidRPr="00E73514">
              <w:rPr>
                <w:rStyle w:val="Hyperlink"/>
                <w:noProof/>
              </w:rPr>
              <w:t>Overall Population and estimated number of head start children</w:t>
            </w:r>
            <w:r w:rsidR="000A5A56">
              <w:rPr>
                <w:noProof/>
                <w:webHidden/>
              </w:rPr>
              <w:tab/>
            </w:r>
            <w:r w:rsidR="000A5A56">
              <w:rPr>
                <w:noProof/>
                <w:webHidden/>
              </w:rPr>
              <w:fldChar w:fldCharType="begin"/>
            </w:r>
            <w:r w:rsidR="000A5A56">
              <w:rPr>
                <w:noProof/>
                <w:webHidden/>
              </w:rPr>
              <w:instrText xml:space="preserve"> PAGEREF _Toc416269427 \h </w:instrText>
            </w:r>
            <w:r w:rsidR="000A5A56">
              <w:rPr>
                <w:noProof/>
                <w:webHidden/>
              </w:rPr>
            </w:r>
            <w:r w:rsidR="000A5A56">
              <w:rPr>
                <w:noProof/>
                <w:webHidden/>
              </w:rPr>
              <w:fldChar w:fldCharType="separate"/>
            </w:r>
            <w:r w:rsidR="000A5A56">
              <w:rPr>
                <w:noProof/>
                <w:webHidden/>
              </w:rPr>
              <w:t>7</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28" w:history="1">
            <w:r w:rsidR="000A5A56" w:rsidRPr="00E73514">
              <w:rPr>
                <w:rStyle w:val="Hyperlink"/>
                <w:noProof/>
              </w:rPr>
              <w:t>Community Growth</w:t>
            </w:r>
            <w:r w:rsidR="000A5A56">
              <w:rPr>
                <w:noProof/>
                <w:webHidden/>
              </w:rPr>
              <w:tab/>
            </w:r>
            <w:r w:rsidR="000A5A56">
              <w:rPr>
                <w:noProof/>
                <w:webHidden/>
              </w:rPr>
              <w:fldChar w:fldCharType="begin"/>
            </w:r>
            <w:r w:rsidR="000A5A56">
              <w:rPr>
                <w:noProof/>
                <w:webHidden/>
              </w:rPr>
              <w:instrText xml:space="preserve"> PAGEREF _Toc416269428 \h </w:instrText>
            </w:r>
            <w:r w:rsidR="000A5A56">
              <w:rPr>
                <w:noProof/>
                <w:webHidden/>
              </w:rPr>
            </w:r>
            <w:r w:rsidR="000A5A56">
              <w:rPr>
                <w:noProof/>
                <w:webHidden/>
              </w:rPr>
              <w:fldChar w:fldCharType="separate"/>
            </w:r>
            <w:r w:rsidR="000A5A56">
              <w:rPr>
                <w:noProof/>
                <w:webHidden/>
              </w:rPr>
              <w:t>7</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29" w:history="1">
            <w:r w:rsidR="000A5A56" w:rsidRPr="00E73514">
              <w:rPr>
                <w:rStyle w:val="Hyperlink"/>
                <w:noProof/>
              </w:rPr>
              <w:t>Area Employment Trends</w:t>
            </w:r>
            <w:r w:rsidR="000A5A56">
              <w:rPr>
                <w:noProof/>
                <w:webHidden/>
              </w:rPr>
              <w:tab/>
            </w:r>
            <w:r w:rsidR="000A5A56">
              <w:rPr>
                <w:noProof/>
                <w:webHidden/>
              </w:rPr>
              <w:fldChar w:fldCharType="begin"/>
            </w:r>
            <w:r w:rsidR="000A5A56">
              <w:rPr>
                <w:noProof/>
                <w:webHidden/>
              </w:rPr>
              <w:instrText xml:space="preserve"> PAGEREF _Toc416269429 \h </w:instrText>
            </w:r>
            <w:r w:rsidR="000A5A56">
              <w:rPr>
                <w:noProof/>
                <w:webHidden/>
              </w:rPr>
            </w:r>
            <w:r w:rsidR="000A5A56">
              <w:rPr>
                <w:noProof/>
                <w:webHidden/>
              </w:rPr>
              <w:fldChar w:fldCharType="separate"/>
            </w:r>
            <w:r w:rsidR="000A5A56">
              <w:rPr>
                <w:noProof/>
                <w:webHidden/>
              </w:rPr>
              <w:t>8</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30" w:history="1">
            <w:r w:rsidR="000A5A56" w:rsidRPr="00E73514">
              <w:rPr>
                <w:rStyle w:val="Hyperlink"/>
                <w:noProof/>
              </w:rPr>
              <w:t>Estimated Head Start/Early Head Start Population</w:t>
            </w:r>
            <w:r w:rsidR="000A5A56">
              <w:rPr>
                <w:noProof/>
                <w:webHidden/>
              </w:rPr>
              <w:tab/>
            </w:r>
            <w:r w:rsidR="000A5A56">
              <w:rPr>
                <w:noProof/>
                <w:webHidden/>
              </w:rPr>
              <w:fldChar w:fldCharType="begin"/>
            </w:r>
            <w:r w:rsidR="000A5A56">
              <w:rPr>
                <w:noProof/>
                <w:webHidden/>
              </w:rPr>
              <w:instrText xml:space="preserve"> PAGEREF _Toc416269430 \h </w:instrText>
            </w:r>
            <w:r w:rsidR="000A5A56">
              <w:rPr>
                <w:noProof/>
                <w:webHidden/>
              </w:rPr>
            </w:r>
            <w:r w:rsidR="000A5A56">
              <w:rPr>
                <w:noProof/>
                <w:webHidden/>
              </w:rPr>
              <w:fldChar w:fldCharType="separate"/>
            </w:r>
            <w:r w:rsidR="000A5A56">
              <w:rPr>
                <w:noProof/>
                <w:webHidden/>
              </w:rPr>
              <w:t>9</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31" w:history="1">
            <w:r w:rsidR="000A5A56" w:rsidRPr="00E73514">
              <w:rPr>
                <w:rStyle w:val="Hyperlink"/>
                <w:noProof/>
              </w:rPr>
              <w:t>Family Dynamics</w:t>
            </w:r>
            <w:r w:rsidR="000A5A56">
              <w:rPr>
                <w:noProof/>
                <w:webHidden/>
              </w:rPr>
              <w:tab/>
            </w:r>
            <w:r w:rsidR="000A5A56">
              <w:rPr>
                <w:noProof/>
                <w:webHidden/>
              </w:rPr>
              <w:fldChar w:fldCharType="begin"/>
            </w:r>
            <w:r w:rsidR="000A5A56">
              <w:rPr>
                <w:noProof/>
                <w:webHidden/>
              </w:rPr>
              <w:instrText xml:space="preserve"> PAGEREF _Toc416269431 \h </w:instrText>
            </w:r>
            <w:r w:rsidR="000A5A56">
              <w:rPr>
                <w:noProof/>
                <w:webHidden/>
              </w:rPr>
            </w:r>
            <w:r w:rsidR="000A5A56">
              <w:rPr>
                <w:noProof/>
                <w:webHidden/>
              </w:rPr>
              <w:fldChar w:fldCharType="separate"/>
            </w:r>
            <w:r w:rsidR="000A5A56">
              <w:rPr>
                <w:noProof/>
                <w:webHidden/>
              </w:rPr>
              <w:t>10</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32" w:history="1">
            <w:r w:rsidR="000A5A56" w:rsidRPr="00E73514">
              <w:rPr>
                <w:rStyle w:val="Hyperlink"/>
                <w:noProof/>
              </w:rPr>
              <w:t>Conclusions</w:t>
            </w:r>
            <w:r w:rsidR="000A5A56">
              <w:rPr>
                <w:noProof/>
                <w:webHidden/>
              </w:rPr>
              <w:tab/>
            </w:r>
            <w:r w:rsidR="000A5A56">
              <w:rPr>
                <w:noProof/>
                <w:webHidden/>
              </w:rPr>
              <w:fldChar w:fldCharType="begin"/>
            </w:r>
            <w:r w:rsidR="000A5A56">
              <w:rPr>
                <w:noProof/>
                <w:webHidden/>
              </w:rPr>
              <w:instrText xml:space="preserve"> PAGEREF _Toc416269432 \h </w:instrText>
            </w:r>
            <w:r w:rsidR="000A5A56">
              <w:rPr>
                <w:noProof/>
                <w:webHidden/>
              </w:rPr>
            </w:r>
            <w:r w:rsidR="000A5A56">
              <w:rPr>
                <w:noProof/>
                <w:webHidden/>
              </w:rPr>
              <w:fldChar w:fldCharType="separate"/>
            </w:r>
            <w:r w:rsidR="000A5A56">
              <w:rPr>
                <w:noProof/>
                <w:webHidden/>
              </w:rPr>
              <w:t>10</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33" w:history="1">
            <w:r w:rsidR="000A5A56" w:rsidRPr="00E73514">
              <w:rPr>
                <w:rStyle w:val="Hyperlink"/>
                <w:noProof/>
              </w:rPr>
              <w:t>Other Childcare providers serving TREC Children</w:t>
            </w:r>
            <w:r w:rsidR="000A5A56">
              <w:rPr>
                <w:noProof/>
                <w:webHidden/>
              </w:rPr>
              <w:tab/>
            </w:r>
            <w:r w:rsidR="000A5A56">
              <w:rPr>
                <w:noProof/>
                <w:webHidden/>
              </w:rPr>
              <w:fldChar w:fldCharType="begin"/>
            </w:r>
            <w:r w:rsidR="000A5A56">
              <w:rPr>
                <w:noProof/>
                <w:webHidden/>
              </w:rPr>
              <w:instrText xml:space="preserve"> PAGEREF _Toc416269433 \h </w:instrText>
            </w:r>
            <w:r w:rsidR="000A5A56">
              <w:rPr>
                <w:noProof/>
                <w:webHidden/>
              </w:rPr>
            </w:r>
            <w:r w:rsidR="000A5A56">
              <w:rPr>
                <w:noProof/>
                <w:webHidden/>
              </w:rPr>
              <w:fldChar w:fldCharType="separate"/>
            </w:r>
            <w:r w:rsidR="000A5A56">
              <w:rPr>
                <w:noProof/>
                <w:webHidden/>
              </w:rPr>
              <w:t>11</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34" w:history="1">
            <w:r w:rsidR="000A5A56" w:rsidRPr="00E73514">
              <w:rPr>
                <w:rStyle w:val="Hyperlink"/>
                <w:noProof/>
              </w:rPr>
              <w:t>Licensed Childcare Centers by County and Number Children Under Age 5 by County</w:t>
            </w:r>
            <w:r w:rsidR="000A5A56">
              <w:rPr>
                <w:noProof/>
                <w:webHidden/>
              </w:rPr>
              <w:tab/>
            </w:r>
            <w:r w:rsidR="000A5A56">
              <w:rPr>
                <w:noProof/>
                <w:webHidden/>
              </w:rPr>
              <w:fldChar w:fldCharType="begin"/>
            </w:r>
            <w:r w:rsidR="000A5A56">
              <w:rPr>
                <w:noProof/>
                <w:webHidden/>
              </w:rPr>
              <w:instrText xml:space="preserve"> PAGEREF _Toc416269434 \h </w:instrText>
            </w:r>
            <w:r w:rsidR="000A5A56">
              <w:rPr>
                <w:noProof/>
                <w:webHidden/>
              </w:rPr>
            </w:r>
            <w:r w:rsidR="000A5A56">
              <w:rPr>
                <w:noProof/>
                <w:webHidden/>
              </w:rPr>
              <w:fldChar w:fldCharType="separate"/>
            </w:r>
            <w:r w:rsidR="000A5A56">
              <w:rPr>
                <w:noProof/>
                <w:webHidden/>
              </w:rPr>
              <w:t>13</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35" w:history="1">
            <w:r w:rsidR="000A5A56" w:rsidRPr="00E73514">
              <w:rPr>
                <w:rStyle w:val="Hyperlink"/>
                <w:noProof/>
              </w:rPr>
              <w:t>Children with Disabilities and Services provided</w:t>
            </w:r>
            <w:r w:rsidR="000A5A56">
              <w:rPr>
                <w:noProof/>
                <w:webHidden/>
              </w:rPr>
              <w:tab/>
            </w:r>
            <w:r w:rsidR="000A5A56">
              <w:rPr>
                <w:noProof/>
                <w:webHidden/>
              </w:rPr>
              <w:fldChar w:fldCharType="begin"/>
            </w:r>
            <w:r w:rsidR="000A5A56">
              <w:rPr>
                <w:noProof/>
                <w:webHidden/>
              </w:rPr>
              <w:instrText xml:space="preserve"> PAGEREF _Toc416269435 \h </w:instrText>
            </w:r>
            <w:r w:rsidR="000A5A56">
              <w:rPr>
                <w:noProof/>
                <w:webHidden/>
              </w:rPr>
            </w:r>
            <w:r w:rsidR="000A5A56">
              <w:rPr>
                <w:noProof/>
                <w:webHidden/>
              </w:rPr>
              <w:fldChar w:fldCharType="separate"/>
            </w:r>
            <w:r w:rsidR="000A5A56">
              <w:rPr>
                <w:noProof/>
                <w:webHidden/>
              </w:rPr>
              <w:t>14</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36" w:history="1">
            <w:r w:rsidR="000A5A56" w:rsidRPr="00E73514">
              <w:rPr>
                <w:rStyle w:val="Hyperlink"/>
                <w:noProof/>
              </w:rPr>
              <w:t>Education, Health, Nutrition, and Social Service Needs</w:t>
            </w:r>
            <w:r w:rsidR="000A5A56">
              <w:rPr>
                <w:noProof/>
                <w:webHidden/>
              </w:rPr>
              <w:tab/>
            </w:r>
            <w:r w:rsidR="000A5A56">
              <w:rPr>
                <w:noProof/>
                <w:webHidden/>
              </w:rPr>
              <w:fldChar w:fldCharType="begin"/>
            </w:r>
            <w:r w:rsidR="000A5A56">
              <w:rPr>
                <w:noProof/>
                <w:webHidden/>
              </w:rPr>
              <w:instrText xml:space="preserve"> PAGEREF _Toc416269436 \h </w:instrText>
            </w:r>
            <w:r w:rsidR="000A5A56">
              <w:rPr>
                <w:noProof/>
                <w:webHidden/>
              </w:rPr>
            </w:r>
            <w:r w:rsidR="000A5A56">
              <w:rPr>
                <w:noProof/>
                <w:webHidden/>
              </w:rPr>
              <w:fldChar w:fldCharType="separate"/>
            </w:r>
            <w:r w:rsidR="000A5A56">
              <w:rPr>
                <w:noProof/>
                <w:webHidden/>
              </w:rPr>
              <w:t>16</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37" w:history="1">
            <w:r w:rsidR="000A5A56" w:rsidRPr="00E73514">
              <w:rPr>
                <w:rStyle w:val="Hyperlink"/>
                <w:noProof/>
              </w:rPr>
              <w:t>Education</w:t>
            </w:r>
            <w:r w:rsidR="000A5A56">
              <w:rPr>
                <w:noProof/>
                <w:webHidden/>
              </w:rPr>
              <w:tab/>
            </w:r>
            <w:r w:rsidR="000A5A56">
              <w:rPr>
                <w:noProof/>
                <w:webHidden/>
              </w:rPr>
              <w:fldChar w:fldCharType="begin"/>
            </w:r>
            <w:r w:rsidR="000A5A56">
              <w:rPr>
                <w:noProof/>
                <w:webHidden/>
              </w:rPr>
              <w:instrText xml:space="preserve"> PAGEREF _Toc416269437 \h </w:instrText>
            </w:r>
            <w:r w:rsidR="000A5A56">
              <w:rPr>
                <w:noProof/>
                <w:webHidden/>
              </w:rPr>
            </w:r>
            <w:r w:rsidR="000A5A56">
              <w:rPr>
                <w:noProof/>
                <w:webHidden/>
              </w:rPr>
              <w:fldChar w:fldCharType="separate"/>
            </w:r>
            <w:r w:rsidR="000A5A56">
              <w:rPr>
                <w:noProof/>
                <w:webHidden/>
              </w:rPr>
              <w:t>16</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38" w:history="1">
            <w:r w:rsidR="000A5A56" w:rsidRPr="00E73514">
              <w:rPr>
                <w:rStyle w:val="Hyperlink"/>
                <w:noProof/>
              </w:rPr>
              <w:t>Head Start/Early Head Start Assessments</w:t>
            </w:r>
            <w:r w:rsidR="000A5A56">
              <w:rPr>
                <w:noProof/>
                <w:webHidden/>
              </w:rPr>
              <w:tab/>
            </w:r>
            <w:r w:rsidR="000A5A56">
              <w:rPr>
                <w:noProof/>
                <w:webHidden/>
              </w:rPr>
              <w:fldChar w:fldCharType="begin"/>
            </w:r>
            <w:r w:rsidR="000A5A56">
              <w:rPr>
                <w:noProof/>
                <w:webHidden/>
              </w:rPr>
              <w:instrText xml:space="preserve"> PAGEREF _Toc416269438 \h </w:instrText>
            </w:r>
            <w:r w:rsidR="000A5A56">
              <w:rPr>
                <w:noProof/>
                <w:webHidden/>
              </w:rPr>
            </w:r>
            <w:r w:rsidR="000A5A56">
              <w:rPr>
                <w:noProof/>
                <w:webHidden/>
              </w:rPr>
              <w:fldChar w:fldCharType="separate"/>
            </w:r>
            <w:r w:rsidR="000A5A56">
              <w:rPr>
                <w:noProof/>
                <w:webHidden/>
              </w:rPr>
              <w:t>16</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39" w:history="1">
            <w:r w:rsidR="000A5A56" w:rsidRPr="00E73514">
              <w:rPr>
                <w:rStyle w:val="Hyperlink"/>
                <w:noProof/>
              </w:rPr>
              <w:t>Early Childhood’s Importance in K-12 (Preparation and Transition)</w:t>
            </w:r>
            <w:r w:rsidR="000A5A56">
              <w:rPr>
                <w:noProof/>
                <w:webHidden/>
              </w:rPr>
              <w:tab/>
            </w:r>
            <w:r w:rsidR="000A5A56">
              <w:rPr>
                <w:noProof/>
                <w:webHidden/>
              </w:rPr>
              <w:fldChar w:fldCharType="begin"/>
            </w:r>
            <w:r w:rsidR="000A5A56">
              <w:rPr>
                <w:noProof/>
                <w:webHidden/>
              </w:rPr>
              <w:instrText xml:space="preserve"> PAGEREF _Toc416269439 \h </w:instrText>
            </w:r>
            <w:r w:rsidR="000A5A56">
              <w:rPr>
                <w:noProof/>
                <w:webHidden/>
              </w:rPr>
            </w:r>
            <w:r w:rsidR="000A5A56">
              <w:rPr>
                <w:noProof/>
                <w:webHidden/>
              </w:rPr>
              <w:fldChar w:fldCharType="separate"/>
            </w:r>
            <w:r w:rsidR="000A5A56">
              <w:rPr>
                <w:noProof/>
                <w:webHidden/>
              </w:rPr>
              <w:t>17</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40" w:history="1">
            <w:r w:rsidR="000A5A56" w:rsidRPr="00E73514">
              <w:rPr>
                <w:rStyle w:val="Hyperlink"/>
                <w:noProof/>
              </w:rPr>
              <w:t>Nutrition</w:t>
            </w:r>
            <w:r w:rsidR="000A5A56">
              <w:rPr>
                <w:noProof/>
                <w:webHidden/>
              </w:rPr>
              <w:tab/>
            </w:r>
            <w:r w:rsidR="000A5A56">
              <w:rPr>
                <w:noProof/>
                <w:webHidden/>
              </w:rPr>
              <w:fldChar w:fldCharType="begin"/>
            </w:r>
            <w:r w:rsidR="000A5A56">
              <w:rPr>
                <w:noProof/>
                <w:webHidden/>
              </w:rPr>
              <w:instrText xml:space="preserve"> PAGEREF _Toc416269440 \h </w:instrText>
            </w:r>
            <w:r w:rsidR="000A5A56">
              <w:rPr>
                <w:noProof/>
                <w:webHidden/>
              </w:rPr>
            </w:r>
            <w:r w:rsidR="000A5A56">
              <w:rPr>
                <w:noProof/>
                <w:webHidden/>
              </w:rPr>
              <w:fldChar w:fldCharType="separate"/>
            </w:r>
            <w:r w:rsidR="000A5A56">
              <w:rPr>
                <w:noProof/>
                <w:webHidden/>
              </w:rPr>
              <w:t>19</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41" w:history="1">
            <w:r w:rsidR="000A5A56" w:rsidRPr="00E73514">
              <w:rPr>
                <w:rStyle w:val="Hyperlink"/>
                <w:noProof/>
              </w:rPr>
              <w:t>Health</w:t>
            </w:r>
            <w:r w:rsidR="000A5A56">
              <w:rPr>
                <w:noProof/>
                <w:webHidden/>
              </w:rPr>
              <w:tab/>
            </w:r>
            <w:r w:rsidR="000A5A56">
              <w:rPr>
                <w:noProof/>
                <w:webHidden/>
              </w:rPr>
              <w:fldChar w:fldCharType="begin"/>
            </w:r>
            <w:r w:rsidR="000A5A56">
              <w:rPr>
                <w:noProof/>
                <w:webHidden/>
              </w:rPr>
              <w:instrText xml:space="preserve"> PAGEREF _Toc416269441 \h </w:instrText>
            </w:r>
            <w:r w:rsidR="000A5A56">
              <w:rPr>
                <w:noProof/>
                <w:webHidden/>
              </w:rPr>
            </w:r>
            <w:r w:rsidR="000A5A56">
              <w:rPr>
                <w:noProof/>
                <w:webHidden/>
              </w:rPr>
              <w:fldChar w:fldCharType="separate"/>
            </w:r>
            <w:r w:rsidR="000A5A56">
              <w:rPr>
                <w:noProof/>
                <w:webHidden/>
              </w:rPr>
              <w:t>20</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42" w:history="1">
            <w:r w:rsidR="000A5A56" w:rsidRPr="00E73514">
              <w:rPr>
                <w:rStyle w:val="Hyperlink"/>
                <w:noProof/>
              </w:rPr>
              <w:t>Mental Health</w:t>
            </w:r>
            <w:r w:rsidR="000A5A56">
              <w:rPr>
                <w:noProof/>
                <w:webHidden/>
              </w:rPr>
              <w:tab/>
            </w:r>
            <w:r w:rsidR="000A5A56">
              <w:rPr>
                <w:noProof/>
                <w:webHidden/>
              </w:rPr>
              <w:fldChar w:fldCharType="begin"/>
            </w:r>
            <w:r w:rsidR="000A5A56">
              <w:rPr>
                <w:noProof/>
                <w:webHidden/>
              </w:rPr>
              <w:instrText xml:space="preserve"> PAGEREF _Toc416269442 \h </w:instrText>
            </w:r>
            <w:r w:rsidR="000A5A56">
              <w:rPr>
                <w:noProof/>
                <w:webHidden/>
              </w:rPr>
            </w:r>
            <w:r w:rsidR="000A5A56">
              <w:rPr>
                <w:noProof/>
                <w:webHidden/>
              </w:rPr>
              <w:fldChar w:fldCharType="separate"/>
            </w:r>
            <w:r w:rsidR="000A5A56">
              <w:rPr>
                <w:noProof/>
                <w:webHidden/>
              </w:rPr>
              <w:t>24</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43" w:history="1">
            <w:r w:rsidR="000A5A56" w:rsidRPr="00E73514">
              <w:rPr>
                <w:rStyle w:val="Hyperlink"/>
                <w:noProof/>
              </w:rPr>
              <w:t>Social Services</w:t>
            </w:r>
            <w:r w:rsidR="000A5A56">
              <w:rPr>
                <w:noProof/>
                <w:webHidden/>
              </w:rPr>
              <w:tab/>
            </w:r>
            <w:r w:rsidR="000A5A56">
              <w:rPr>
                <w:noProof/>
                <w:webHidden/>
              </w:rPr>
              <w:fldChar w:fldCharType="begin"/>
            </w:r>
            <w:r w:rsidR="000A5A56">
              <w:rPr>
                <w:noProof/>
                <w:webHidden/>
              </w:rPr>
              <w:instrText xml:space="preserve"> PAGEREF _Toc416269443 \h </w:instrText>
            </w:r>
            <w:r w:rsidR="000A5A56">
              <w:rPr>
                <w:noProof/>
                <w:webHidden/>
              </w:rPr>
            </w:r>
            <w:r w:rsidR="000A5A56">
              <w:rPr>
                <w:noProof/>
                <w:webHidden/>
              </w:rPr>
              <w:fldChar w:fldCharType="separate"/>
            </w:r>
            <w:r w:rsidR="000A5A56">
              <w:rPr>
                <w:noProof/>
                <w:webHidden/>
              </w:rPr>
              <w:t>24</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44" w:history="1">
            <w:r w:rsidR="000A5A56" w:rsidRPr="00E73514">
              <w:rPr>
                <w:rStyle w:val="Hyperlink"/>
                <w:noProof/>
              </w:rPr>
              <w:t>Conclusions</w:t>
            </w:r>
            <w:r w:rsidR="000A5A56">
              <w:rPr>
                <w:noProof/>
                <w:webHidden/>
              </w:rPr>
              <w:tab/>
            </w:r>
            <w:r w:rsidR="000A5A56">
              <w:rPr>
                <w:noProof/>
                <w:webHidden/>
              </w:rPr>
              <w:fldChar w:fldCharType="begin"/>
            </w:r>
            <w:r w:rsidR="000A5A56">
              <w:rPr>
                <w:noProof/>
                <w:webHidden/>
              </w:rPr>
              <w:instrText xml:space="preserve"> PAGEREF _Toc416269444 \h </w:instrText>
            </w:r>
            <w:r w:rsidR="000A5A56">
              <w:rPr>
                <w:noProof/>
                <w:webHidden/>
              </w:rPr>
            </w:r>
            <w:r w:rsidR="000A5A56">
              <w:rPr>
                <w:noProof/>
                <w:webHidden/>
              </w:rPr>
              <w:fldChar w:fldCharType="separate"/>
            </w:r>
            <w:r w:rsidR="000A5A56">
              <w:rPr>
                <w:noProof/>
                <w:webHidden/>
              </w:rPr>
              <w:t>25</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45" w:history="1">
            <w:r w:rsidR="000A5A56" w:rsidRPr="00E73514">
              <w:rPr>
                <w:rStyle w:val="Hyperlink"/>
                <w:noProof/>
              </w:rPr>
              <w:t>Community Resources (Partnerships)</w:t>
            </w:r>
            <w:r w:rsidR="000A5A56">
              <w:rPr>
                <w:noProof/>
                <w:webHidden/>
              </w:rPr>
              <w:tab/>
            </w:r>
            <w:r w:rsidR="000A5A56">
              <w:rPr>
                <w:noProof/>
                <w:webHidden/>
              </w:rPr>
              <w:fldChar w:fldCharType="begin"/>
            </w:r>
            <w:r w:rsidR="000A5A56">
              <w:rPr>
                <w:noProof/>
                <w:webHidden/>
              </w:rPr>
              <w:instrText xml:space="preserve"> PAGEREF _Toc416269445 \h </w:instrText>
            </w:r>
            <w:r w:rsidR="000A5A56">
              <w:rPr>
                <w:noProof/>
                <w:webHidden/>
              </w:rPr>
            </w:r>
            <w:r w:rsidR="000A5A56">
              <w:rPr>
                <w:noProof/>
                <w:webHidden/>
              </w:rPr>
              <w:fldChar w:fldCharType="separate"/>
            </w:r>
            <w:r w:rsidR="000A5A56">
              <w:rPr>
                <w:noProof/>
                <w:webHidden/>
              </w:rPr>
              <w:t>26</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46" w:history="1">
            <w:r w:rsidR="000A5A56" w:rsidRPr="00E73514">
              <w:rPr>
                <w:rStyle w:val="Hyperlink"/>
                <w:noProof/>
              </w:rPr>
              <w:t>Education</w:t>
            </w:r>
            <w:r w:rsidR="000A5A56">
              <w:rPr>
                <w:noProof/>
                <w:webHidden/>
              </w:rPr>
              <w:tab/>
            </w:r>
            <w:r w:rsidR="000A5A56">
              <w:rPr>
                <w:noProof/>
                <w:webHidden/>
              </w:rPr>
              <w:fldChar w:fldCharType="begin"/>
            </w:r>
            <w:r w:rsidR="000A5A56">
              <w:rPr>
                <w:noProof/>
                <w:webHidden/>
              </w:rPr>
              <w:instrText xml:space="preserve"> PAGEREF _Toc416269446 \h </w:instrText>
            </w:r>
            <w:r w:rsidR="000A5A56">
              <w:rPr>
                <w:noProof/>
                <w:webHidden/>
              </w:rPr>
            </w:r>
            <w:r w:rsidR="000A5A56">
              <w:rPr>
                <w:noProof/>
                <w:webHidden/>
              </w:rPr>
              <w:fldChar w:fldCharType="separate"/>
            </w:r>
            <w:r w:rsidR="000A5A56">
              <w:rPr>
                <w:noProof/>
                <w:webHidden/>
              </w:rPr>
              <w:t>26</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47" w:history="1">
            <w:r w:rsidR="000A5A56" w:rsidRPr="00E73514">
              <w:rPr>
                <w:rStyle w:val="Hyperlink"/>
                <w:noProof/>
              </w:rPr>
              <w:t>Students with Disabilities</w:t>
            </w:r>
            <w:r w:rsidR="000A5A56">
              <w:rPr>
                <w:noProof/>
                <w:webHidden/>
              </w:rPr>
              <w:tab/>
            </w:r>
            <w:r w:rsidR="000A5A56">
              <w:rPr>
                <w:noProof/>
                <w:webHidden/>
              </w:rPr>
              <w:fldChar w:fldCharType="begin"/>
            </w:r>
            <w:r w:rsidR="000A5A56">
              <w:rPr>
                <w:noProof/>
                <w:webHidden/>
              </w:rPr>
              <w:instrText xml:space="preserve"> PAGEREF _Toc416269447 \h </w:instrText>
            </w:r>
            <w:r w:rsidR="000A5A56">
              <w:rPr>
                <w:noProof/>
                <w:webHidden/>
              </w:rPr>
            </w:r>
            <w:r w:rsidR="000A5A56">
              <w:rPr>
                <w:noProof/>
                <w:webHidden/>
              </w:rPr>
              <w:fldChar w:fldCharType="separate"/>
            </w:r>
            <w:r w:rsidR="000A5A56">
              <w:rPr>
                <w:noProof/>
                <w:webHidden/>
              </w:rPr>
              <w:t>27</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48" w:history="1">
            <w:r w:rsidR="000A5A56" w:rsidRPr="00E73514">
              <w:rPr>
                <w:rStyle w:val="Hyperlink"/>
                <w:noProof/>
              </w:rPr>
              <w:t>Health and Dental Partners</w:t>
            </w:r>
            <w:r w:rsidR="000A5A56">
              <w:rPr>
                <w:noProof/>
                <w:webHidden/>
              </w:rPr>
              <w:tab/>
            </w:r>
            <w:r w:rsidR="000A5A56">
              <w:rPr>
                <w:noProof/>
                <w:webHidden/>
              </w:rPr>
              <w:fldChar w:fldCharType="begin"/>
            </w:r>
            <w:r w:rsidR="000A5A56">
              <w:rPr>
                <w:noProof/>
                <w:webHidden/>
              </w:rPr>
              <w:instrText xml:space="preserve"> PAGEREF _Toc416269448 \h </w:instrText>
            </w:r>
            <w:r w:rsidR="000A5A56">
              <w:rPr>
                <w:noProof/>
                <w:webHidden/>
              </w:rPr>
            </w:r>
            <w:r w:rsidR="000A5A56">
              <w:rPr>
                <w:noProof/>
                <w:webHidden/>
              </w:rPr>
              <w:fldChar w:fldCharType="separate"/>
            </w:r>
            <w:r w:rsidR="000A5A56">
              <w:rPr>
                <w:noProof/>
                <w:webHidden/>
              </w:rPr>
              <w:t>27</w:t>
            </w:r>
            <w:r w:rsidR="000A5A56">
              <w:rPr>
                <w:noProof/>
                <w:webHidden/>
              </w:rPr>
              <w:fldChar w:fldCharType="end"/>
            </w:r>
          </w:hyperlink>
        </w:p>
        <w:p w:rsidR="000A5A56" w:rsidRDefault="00574613">
          <w:pPr>
            <w:pStyle w:val="TOC3"/>
            <w:tabs>
              <w:tab w:val="right" w:leader="dot" w:pos="9350"/>
            </w:tabs>
            <w:rPr>
              <w:noProof/>
              <w:sz w:val="22"/>
              <w:szCs w:val="22"/>
            </w:rPr>
          </w:pPr>
          <w:hyperlink w:anchor="_Toc416269449" w:history="1">
            <w:r w:rsidR="000A5A56" w:rsidRPr="00E73514">
              <w:rPr>
                <w:rStyle w:val="Hyperlink"/>
                <w:noProof/>
              </w:rPr>
              <w:t>Social Service Partners</w:t>
            </w:r>
            <w:r w:rsidR="000A5A56">
              <w:rPr>
                <w:noProof/>
                <w:webHidden/>
              </w:rPr>
              <w:tab/>
            </w:r>
            <w:r w:rsidR="000A5A56">
              <w:rPr>
                <w:noProof/>
                <w:webHidden/>
              </w:rPr>
              <w:fldChar w:fldCharType="begin"/>
            </w:r>
            <w:r w:rsidR="000A5A56">
              <w:rPr>
                <w:noProof/>
                <w:webHidden/>
              </w:rPr>
              <w:instrText xml:space="preserve"> PAGEREF _Toc416269449 \h </w:instrText>
            </w:r>
            <w:r w:rsidR="000A5A56">
              <w:rPr>
                <w:noProof/>
                <w:webHidden/>
              </w:rPr>
            </w:r>
            <w:r w:rsidR="000A5A56">
              <w:rPr>
                <w:noProof/>
                <w:webHidden/>
              </w:rPr>
              <w:fldChar w:fldCharType="separate"/>
            </w:r>
            <w:r w:rsidR="000A5A56">
              <w:rPr>
                <w:noProof/>
                <w:webHidden/>
              </w:rPr>
              <w:t>29</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0" w:history="1">
            <w:r w:rsidR="000A5A56" w:rsidRPr="00E73514">
              <w:rPr>
                <w:rStyle w:val="Hyperlink"/>
                <w:noProof/>
              </w:rPr>
              <w:t>Conclusions</w:t>
            </w:r>
            <w:r w:rsidR="000A5A56">
              <w:rPr>
                <w:noProof/>
                <w:webHidden/>
              </w:rPr>
              <w:tab/>
            </w:r>
            <w:r w:rsidR="000A5A56">
              <w:rPr>
                <w:noProof/>
                <w:webHidden/>
              </w:rPr>
              <w:fldChar w:fldCharType="begin"/>
            </w:r>
            <w:r w:rsidR="000A5A56">
              <w:rPr>
                <w:noProof/>
                <w:webHidden/>
              </w:rPr>
              <w:instrText xml:space="preserve"> PAGEREF _Toc416269450 \h </w:instrText>
            </w:r>
            <w:r w:rsidR="000A5A56">
              <w:rPr>
                <w:noProof/>
                <w:webHidden/>
              </w:rPr>
            </w:r>
            <w:r w:rsidR="000A5A56">
              <w:rPr>
                <w:noProof/>
                <w:webHidden/>
              </w:rPr>
              <w:fldChar w:fldCharType="separate"/>
            </w:r>
            <w:r w:rsidR="000A5A56">
              <w:rPr>
                <w:noProof/>
                <w:webHidden/>
              </w:rPr>
              <w:t>29</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51" w:history="1">
            <w:r w:rsidR="000A5A56" w:rsidRPr="00E73514">
              <w:rPr>
                <w:rStyle w:val="Hyperlink"/>
                <w:noProof/>
              </w:rPr>
              <w:t>profiles of individual counties</w:t>
            </w:r>
            <w:r w:rsidR="000A5A56">
              <w:rPr>
                <w:noProof/>
                <w:webHidden/>
              </w:rPr>
              <w:tab/>
            </w:r>
            <w:r w:rsidR="000A5A56">
              <w:rPr>
                <w:noProof/>
                <w:webHidden/>
              </w:rPr>
              <w:fldChar w:fldCharType="begin"/>
            </w:r>
            <w:r w:rsidR="000A5A56">
              <w:rPr>
                <w:noProof/>
                <w:webHidden/>
              </w:rPr>
              <w:instrText xml:space="preserve"> PAGEREF _Toc416269451 \h </w:instrText>
            </w:r>
            <w:r w:rsidR="000A5A56">
              <w:rPr>
                <w:noProof/>
                <w:webHidden/>
              </w:rPr>
            </w:r>
            <w:r w:rsidR="000A5A56">
              <w:rPr>
                <w:noProof/>
                <w:webHidden/>
              </w:rPr>
              <w:fldChar w:fldCharType="separate"/>
            </w:r>
            <w:r w:rsidR="000A5A56">
              <w:rPr>
                <w:noProof/>
                <w:webHidden/>
              </w:rPr>
              <w:t>29</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2" w:history="1">
            <w:r w:rsidR="000A5A56" w:rsidRPr="00E73514">
              <w:rPr>
                <w:rStyle w:val="Hyperlink"/>
                <w:noProof/>
              </w:rPr>
              <w:t>Bennett County</w:t>
            </w:r>
            <w:r w:rsidR="000A5A56">
              <w:rPr>
                <w:noProof/>
                <w:webHidden/>
              </w:rPr>
              <w:tab/>
            </w:r>
            <w:r w:rsidR="000A5A56">
              <w:rPr>
                <w:noProof/>
                <w:webHidden/>
              </w:rPr>
              <w:fldChar w:fldCharType="begin"/>
            </w:r>
            <w:r w:rsidR="000A5A56">
              <w:rPr>
                <w:noProof/>
                <w:webHidden/>
              </w:rPr>
              <w:instrText xml:space="preserve"> PAGEREF _Toc416269452 \h </w:instrText>
            </w:r>
            <w:r w:rsidR="000A5A56">
              <w:rPr>
                <w:noProof/>
                <w:webHidden/>
              </w:rPr>
            </w:r>
            <w:r w:rsidR="000A5A56">
              <w:rPr>
                <w:noProof/>
                <w:webHidden/>
              </w:rPr>
              <w:fldChar w:fldCharType="separate"/>
            </w:r>
            <w:r w:rsidR="000A5A56">
              <w:rPr>
                <w:noProof/>
                <w:webHidden/>
              </w:rPr>
              <w:t>31</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3" w:history="1">
            <w:r w:rsidR="000A5A56" w:rsidRPr="00E73514">
              <w:rPr>
                <w:rStyle w:val="Hyperlink"/>
                <w:noProof/>
              </w:rPr>
              <w:t>Butte County</w:t>
            </w:r>
            <w:r w:rsidR="000A5A56">
              <w:rPr>
                <w:noProof/>
                <w:webHidden/>
              </w:rPr>
              <w:tab/>
            </w:r>
            <w:r w:rsidR="000A5A56">
              <w:rPr>
                <w:noProof/>
                <w:webHidden/>
              </w:rPr>
              <w:fldChar w:fldCharType="begin"/>
            </w:r>
            <w:r w:rsidR="000A5A56">
              <w:rPr>
                <w:noProof/>
                <w:webHidden/>
              </w:rPr>
              <w:instrText xml:space="preserve"> PAGEREF _Toc416269453 \h </w:instrText>
            </w:r>
            <w:r w:rsidR="000A5A56">
              <w:rPr>
                <w:noProof/>
                <w:webHidden/>
              </w:rPr>
            </w:r>
            <w:r w:rsidR="000A5A56">
              <w:rPr>
                <w:noProof/>
                <w:webHidden/>
              </w:rPr>
              <w:fldChar w:fldCharType="separate"/>
            </w:r>
            <w:r w:rsidR="000A5A56">
              <w:rPr>
                <w:noProof/>
                <w:webHidden/>
              </w:rPr>
              <w:t>33</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4" w:history="1">
            <w:r w:rsidR="000A5A56" w:rsidRPr="00E73514">
              <w:rPr>
                <w:rStyle w:val="Hyperlink"/>
                <w:noProof/>
              </w:rPr>
              <w:t>Corson (Western) County</w:t>
            </w:r>
            <w:r w:rsidR="000A5A56">
              <w:rPr>
                <w:noProof/>
                <w:webHidden/>
              </w:rPr>
              <w:tab/>
            </w:r>
            <w:r w:rsidR="000A5A56">
              <w:rPr>
                <w:noProof/>
                <w:webHidden/>
              </w:rPr>
              <w:fldChar w:fldCharType="begin"/>
            </w:r>
            <w:r w:rsidR="000A5A56">
              <w:rPr>
                <w:noProof/>
                <w:webHidden/>
              </w:rPr>
              <w:instrText xml:space="preserve"> PAGEREF _Toc416269454 \h </w:instrText>
            </w:r>
            <w:r w:rsidR="000A5A56">
              <w:rPr>
                <w:noProof/>
                <w:webHidden/>
              </w:rPr>
            </w:r>
            <w:r w:rsidR="000A5A56">
              <w:rPr>
                <w:noProof/>
                <w:webHidden/>
              </w:rPr>
              <w:fldChar w:fldCharType="separate"/>
            </w:r>
            <w:r w:rsidR="000A5A56">
              <w:rPr>
                <w:noProof/>
                <w:webHidden/>
              </w:rPr>
              <w:t>36</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5" w:history="1">
            <w:r w:rsidR="000A5A56" w:rsidRPr="00E73514">
              <w:rPr>
                <w:rStyle w:val="Hyperlink"/>
                <w:noProof/>
              </w:rPr>
              <w:t>Harding County</w:t>
            </w:r>
            <w:r w:rsidR="000A5A56">
              <w:rPr>
                <w:noProof/>
                <w:webHidden/>
              </w:rPr>
              <w:tab/>
            </w:r>
            <w:r w:rsidR="000A5A56">
              <w:rPr>
                <w:noProof/>
                <w:webHidden/>
              </w:rPr>
              <w:fldChar w:fldCharType="begin"/>
            </w:r>
            <w:r w:rsidR="000A5A56">
              <w:rPr>
                <w:noProof/>
                <w:webHidden/>
              </w:rPr>
              <w:instrText xml:space="preserve"> PAGEREF _Toc416269455 \h </w:instrText>
            </w:r>
            <w:r w:rsidR="000A5A56">
              <w:rPr>
                <w:noProof/>
                <w:webHidden/>
              </w:rPr>
            </w:r>
            <w:r w:rsidR="000A5A56">
              <w:rPr>
                <w:noProof/>
                <w:webHidden/>
              </w:rPr>
              <w:fldChar w:fldCharType="separate"/>
            </w:r>
            <w:r w:rsidR="000A5A56">
              <w:rPr>
                <w:noProof/>
                <w:webHidden/>
              </w:rPr>
              <w:t>39</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6" w:history="1">
            <w:r w:rsidR="000A5A56" w:rsidRPr="00E73514">
              <w:rPr>
                <w:rStyle w:val="Hyperlink"/>
                <w:noProof/>
              </w:rPr>
              <w:t>Perkins County</w:t>
            </w:r>
            <w:r w:rsidR="000A5A56">
              <w:rPr>
                <w:noProof/>
                <w:webHidden/>
              </w:rPr>
              <w:tab/>
            </w:r>
            <w:r w:rsidR="000A5A56">
              <w:rPr>
                <w:noProof/>
                <w:webHidden/>
              </w:rPr>
              <w:fldChar w:fldCharType="begin"/>
            </w:r>
            <w:r w:rsidR="000A5A56">
              <w:rPr>
                <w:noProof/>
                <w:webHidden/>
              </w:rPr>
              <w:instrText xml:space="preserve"> PAGEREF _Toc416269456 \h </w:instrText>
            </w:r>
            <w:r w:rsidR="000A5A56">
              <w:rPr>
                <w:noProof/>
                <w:webHidden/>
              </w:rPr>
            </w:r>
            <w:r w:rsidR="000A5A56">
              <w:rPr>
                <w:noProof/>
                <w:webHidden/>
              </w:rPr>
              <w:fldChar w:fldCharType="separate"/>
            </w:r>
            <w:r w:rsidR="000A5A56">
              <w:rPr>
                <w:noProof/>
                <w:webHidden/>
              </w:rPr>
              <w:t>42</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7" w:history="1">
            <w:r w:rsidR="000A5A56" w:rsidRPr="00E73514">
              <w:rPr>
                <w:rStyle w:val="Hyperlink"/>
                <w:noProof/>
              </w:rPr>
              <w:t>Shannon County</w:t>
            </w:r>
            <w:r w:rsidR="000A5A56">
              <w:rPr>
                <w:noProof/>
                <w:webHidden/>
              </w:rPr>
              <w:tab/>
            </w:r>
            <w:r w:rsidR="000A5A56">
              <w:rPr>
                <w:noProof/>
                <w:webHidden/>
              </w:rPr>
              <w:fldChar w:fldCharType="begin"/>
            </w:r>
            <w:r w:rsidR="000A5A56">
              <w:rPr>
                <w:noProof/>
                <w:webHidden/>
              </w:rPr>
              <w:instrText xml:space="preserve"> PAGEREF _Toc416269457 \h </w:instrText>
            </w:r>
            <w:r w:rsidR="000A5A56">
              <w:rPr>
                <w:noProof/>
                <w:webHidden/>
              </w:rPr>
            </w:r>
            <w:r w:rsidR="000A5A56">
              <w:rPr>
                <w:noProof/>
                <w:webHidden/>
              </w:rPr>
              <w:fldChar w:fldCharType="separate"/>
            </w:r>
            <w:r w:rsidR="000A5A56">
              <w:rPr>
                <w:noProof/>
                <w:webHidden/>
              </w:rPr>
              <w:t>45</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58" w:history="1">
            <w:r w:rsidR="000A5A56" w:rsidRPr="00E73514">
              <w:rPr>
                <w:rStyle w:val="Hyperlink"/>
                <w:noProof/>
              </w:rPr>
              <w:t>Summary of key findings (overall)</w:t>
            </w:r>
            <w:r w:rsidR="000A5A56">
              <w:rPr>
                <w:noProof/>
                <w:webHidden/>
              </w:rPr>
              <w:tab/>
            </w:r>
            <w:r w:rsidR="000A5A56">
              <w:rPr>
                <w:noProof/>
                <w:webHidden/>
              </w:rPr>
              <w:fldChar w:fldCharType="begin"/>
            </w:r>
            <w:r w:rsidR="000A5A56">
              <w:rPr>
                <w:noProof/>
                <w:webHidden/>
              </w:rPr>
              <w:instrText xml:space="preserve"> PAGEREF _Toc416269458 \h </w:instrText>
            </w:r>
            <w:r w:rsidR="000A5A56">
              <w:rPr>
                <w:noProof/>
                <w:webHidden/>
              </w:rPr>
            </w:r>
            <w:r w:rsidR="000A5A56">
              <w:rPr>
                <w:noProof/>
                <w:webHidden/>
              </w:rPr>
              <w:fldChar w:fldCharType="separate"/>
            </w:r>
            <w:r w:rsidR="000A5A56">
              <w:rPr>
                <w:noProof/>
                <w:webHidden/>
              </w:rPr>
              <w:t>48</w:t>
            </w:r>
            <w:r w:rsidR="000A5A56">
              <w:rPr>
                <w:noProof/>
                <w:webHidden/>
              </w:rPr>
              <w:fldChar w:fldCharType="end"/>
            </w:r>
          </w:hyperlink>
        </w:p>
        <w:p w:rsidR="000A5A56" w:rsidRDefault="00574613">
          <w:pPr>
            <w:pStyle w:val="TOC2"/>
            <w:tabs>
              <w:tab w:val="right" w:leader="dot" w:pos="9350"/>
            </w:tabs>
            <w:rPr>
              <w:noProof/>
              <w:sz w:val="22"/>
              <w:szCs w:val="22"/>
            </w:rPr>
          </w:pPr>
          <w:hyperlink w:anchor="_Toc416269459" w:history="1">
            <w:r w:rsidR="000A5A56" w:rsidRPr="00E73514">
              <w:rPr>
                <w:rStyle w:val="Hyperlink"/>
                <w:noProof/>
              </w:rPr>
              <w:t>Goals derived</w:t>
            </w:r>
            <w:r w:rsidR="000A5A56">
              <w:rPr>
                <w:noProof/>
                <w:webHidden/>
              </w:rPr>
              <w:tab/>
            </w:r>
            <w:r w:rsidR="000A5A56">
              <w:rPr>
                <w:noProof/>
                <w:webHidden/>
              </w:rPr>
              <w:fldChar w:fldCharType="begin"/>
            </w:r>
            <w:r w:rsidR="000A5A56">
              <w:rPr>
                <w:noProof/>
                <w:webHidden/>
              </w:rPr>
              <w:instrText xml:space="preserve"> PAGEREF _Toc416269459 \h </w:instrText>
            </w:r>
            <w:r w:rsidR="000A5A56">
              <w:rPr>
                <w:noProof/>
                <w:webHidden/>
              </w:rPr>
            </w:r>
            <w:r w:rsidR="000A5A56">
              <w:rPr>
                <w:noProof/>
                <w:webHidden/>
              </w:rPr>
              <w:fldChar w:fldCharType="separate"/>
            </w:r>
            <w:r w:rsidR="000A5A56">
              <w:rPr>
                <w:noProof/>
                <w:webHidden/>
              </w:rPr>
              <w:t>48</w:t>
            </w:r>
            <w:r w:rsidR="000A5A56">
              <w:rPr>
                <w:noProof/>
                <w:webHidden/>
              </w:rPr>
              <w:fldChar w:fldCharType="end"/>
            </w:r>
          </w:hyperlink>
        </w:p>
        <w:p w:rsidR="000A5A56" w:rsidRDefault="00574613">
          <w:pPr>
            <w:pStyle w:val="TOC1"/>
            <w:tabs>
              <w:tab w:val="right" w:leader="dot" w:pos="9350"/>
            </w:tabs>
            <w:rPr>
              <w:noProof/>
              <w:sz w:val="22"/>
              <w:szCs w:val="22"/>
            </w:rPr>
          </w:pPr>
          <w:hyperlink w:anchor="_Toc416269460" w:history="1">
            <w:r w:rsidR="000A5A56" w:rsidRPr="00E73514">
              <w:rPr>
                <w:rStyle w:val="Hyperlink"/>
                <w:noProof/>
              </w:rPr>
              <w:t>Appendix A – Gold aggregation Data</w:t>
            </w:r>
            <w:r w:rsidR="000A5A56">
              <w:rPr>
                <w:noProof/>
                <w:webHidden/>
              </w:rPr>
              <w:tab/>
            </w:r>
            <w:r w:rsidR="000A5A56">
              <w:rPr>
                <w:noProof/>
                <w:webHidden/>
              </w:rPr>
              <w:fldChar w:fldCharType="begin"/>
            </w:r>
            <w:r w:rsidR="000A5A56">
              <w:rPr>
                <w:noProof/>
                <w:webHidden/>
              </w:rPr>
              <w:instrText xml:space="preserve"> PAGEREF _Toc416269460 \h </w:instrText>
            </w:r>
            <w:r w:rsidR="000A5A56">
              <w:rPr>
                <w:noProof/>
                <w:webHidden/>
              </w:rPr>
            </w:r>
            <w:r w:rsidR="000A5A56">
              <w:rPr>
                <w:noProof/>
                <w:webHidden/>
              </w:rPr>
              <w:fldChar w:fldCharType="separate"/>
            </w:r>
            <w:r w:rsidR="000A5A56">
              <w:rPr>
                <w:noProof/>
                <w:webHidden/>
              </w:rPr>
              <w:t>49</w:t>
            </w:r>
            <w:r w:rsidR="000A5A56">
              <w:rPr>
                <w:noProof/>
                <w:webHidden/>
              </w:rPr>
              <w:fldChar w:fldCharType="end"/>
            </w:r>
          </w:hyperlink>
        </w:p>
        <w:p w:rsidR="00DC2AB5" w:rsidRDefault="00DC2AB5">
          <w:r>
            <w:rPr>
              <w:b/>
              <w:bCs/>
              <w:noProof/>
            </w:rPr>
            <w:fldChar w:fldCharType="end"/>
          </w:r>
        </w:p>
      </w:sdtContent>
    </w:sdt>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DC2AB5" w:rsidRDefault="00DC2AB5" w:rsidP="00A265F4"/>
    <w:p w:rsidR="00574613" w:rsidRDefault="00574613" w:rsidP="00926B0D">
      <w:pPr>
        <w:pStyle w:val="Heading1"/>
        <w:sectPr w:rsidR="00574613">
          <w:footerReference w:type="default" r:id="rId11"/>
          <w:pgSz w:w="12240" w:h="15840"/>
          <w:pgMar w:top="1440" w:right="1440" w:bottom="1440" w:left="1440" w:header="720" w:footer="720" w:gutter="0"/>
          <w:cols w:space="720"/>
          <w:docGrid w:linePitch="360"/>
        </w:sectPr>
      </w:pPr>
      <w:bookmarkStart w:id="0" w:name="_Toc416269423"/>
    </w:p>
    <w:p w:rsidR="00AB156C" w:rsidRDefault="00926B0D" w:rsidP="00926B0D">
      <w:pPr>
        <w:pStyle w:val="Heading1"/>
      </w:pPr>
      <w:r>
        <w:lastRenderedPageBreak/>
        <w:t>Introduction</w:t>
      </w:r>
      <w:bookmarkEnd w:id="0"/>
    </w:p>
    <w:p w:rsidR="00DC2AB5" w:rsidRDefault="00D7657D" w:rsidP="002154CC">
      <w:pPr>
        <w:spacing w:line="480" w:lineRule="auto"/>
        <w:ind w:firstLine="720"/>
      </w:pPr>
      <w:r>
        <w:t>In order to properly align goals and aspirations of Head Start Agencies with community needs, the agencies must conduct community a</w:t>
      </w:r>
      <w:r w:rsidR="00A43CBF">
        <w:t>ssessments to figure out, in an</w:t>
      </w:r>
      <w:r>
        <w:t xml:space="preserve"> evidence-based manner, what the ‘real’ needs are for the communities they seek to serve. As it relates to Badlands Head Start, there are a variety of educational and community needs that were identified to best serve the communities in Western South Dakota</w:t>
      </w:r>
      <w:r w:rsidR="00DC2AB5">
        <w:t>.</w:t>
      </w:r>
    </w:p>
    <w:p w:rsidR="00A43CBF" w:rsidRDefault="00D7657D" w:rsidP="00DC2AB5">
      <w:pPr>
        <w:spacing w:line="480" w:lineRule="auto"/>
        <w:ind w:firstLine="720"/>
      </w:pPr>
      <w:r>
        <w:t>Ultimately, data and information gathered through the Community Assessment process will inform the program goals and operations in the coming years. This is by no means a strategic plan, but it allows the agency to program and think strategically in the short-term.</w:t>
      </w:r>
    </w:p>
    <w:p w:rsidR="00DC2AB5" w:rsidRDefault="00574613" w:rsidP="00EB579C">
      <w:pPr>
        <w:spacing w:line="480" w:lineRule="auto"/>
        <w:ind w:firstLine="720"/>
      </w:pPr>
      <w:r>
        <w:rPr>
          <w:noProof/>
        </w:rPr>
        <mc:AlternateContent>
          <mc:Choice Requires="wps">
            <w:drawing>
              <wp:anchor distT="0" distB="0" distL="114300" distR="114300" simplePos="0" relativeHeight="251674624" behindDoc="0" locked="0" layoutInCell="1" allowOverlap="1" wp14:anchorId="46A37A4C" wp14:editId="08979C91">
                <wp:simplePos x="0" y="0"/>
                <wp:positionH relativeFrom="column">
                  <wp:posOffset>2104721</wp:posOffset>
                </wp:positionH>
                <wp:positionV relativeFrom="paragraph">
                  <wp:posOffset>3344545</wp:posOffset>
                </wp:positionV>
                <wp:extent cx="2374265" cy="140398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
                              <w:t>Children &amp; Families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5.75pt;margin-top:263.35pt;width:186.95pt;height:110.5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" filled="f" stroked="f">
                <v:textbox style="mso-fit-shape-to-text:t">
                  <w:txbxContent>
                    <w:p w:rsidR="00574613" w:rsidRDefault="00574613">
                      <w:r>
                        <w:t>Children &amp; Families</w:t>
                      </w:r>
                    </w:p>
                  </w:txbxContent>
                </v:textbox>
              </v:shape>
            </w:pict>
          </mc:Fallback>
        </mc:AlternateContent>
      </w:r>
      <w:r w:rsidR="00A43CBF">
        <w:rPr>
          <w:noProof/>
        </w:rPr>
        <mc:AlternateContent>
          <mc:Choice Requires="wps">
            <w:drawing>
              <wp:anchor distT="0" distB="0" distL="114300" distR="114300" simplePos="0" relativeHeight="251672576" behindDoc="0" locked="0" layoutInCell="1" allowOverlap="1" wp14:anchorId="15FA2277" wp14:editId="3808DA17">
                <wp:simplePos x="0" y="0"/>
                <wp:positionH relativeFrom="column">
                  <wp:posOffset>2230120</wp:posOffset>
                </wp:positionH>
                <wp:positionV relativeFrom="paragraph">
                  <wp:posOffset>3228036</wp:posOffset>
                </wp:positionV>
                <wp:extent cx="897890" cy="842645"/>
                <wp:effectExtent l="19050" t="0" r="35560" b="14605"/>
                <wp:wrapNone/>
                <wp:docPr id="15" name="Heart 15"/>
                <wp:cNvGraphicFramePr/>
                <a:graphic xmlns:a="http://schemas.openxmlformats.org/drawingml/2006/main">
                  <a:graphicData uri="http://schemas.microsoft.com/office/word/2010/wordprocessingShape">
                    <wps:wsp>
                      <wps:cNvSpPr/>
                      <wps:spPr>
                        <a:xfrm>
                          <a:off x="0" y="0"/>
                          <a:ext cx="897890" cy="842645"/>
                        </a:xfrm>
                        <a:prstGeom prst="heart">
                          <a:avLst/>
                        </a:prstGeom>
                        <a:solidFill>
                          <a:srgbClr val="E632C4">
                            <a:alpha val="46000"/>
                          </a:srgbClr>
                        </a:solidFill>
                        <a:ln>
                          <a:solidFill>
                            <a:srgbClr val="E632C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5" o:spid="_x0000_s1026" style="position:absolute;margin-left:175.6pt;margin-top:254.2pt;width:70.7pt;height:66.3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897890,842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" path="m448945,210661v187060,-491543,916596,,,631984c-467651,210661,261885,-280882,448945,210661xe" fillcolor="#e632c4" strokecolor="#e632c4" strokeweight="2pt">
                <v:fill opacity="30069f"/>
                <v:path arrowok="t" o:connecttype="custom" o:connectlocs="448945,210661;448945,842645;448945,210661" o:connectangles="0,0,0"/>
              </v:shape>
            </w:pict>
          </mc:Fallback>
        </mc:AlternateContent>
      </w:r>
      <w:r w:rsidR="00A43CBF">
        <w:t xml:space="preserve">In this document we shall cover many areas. First, the demographic and family dynamics of our estimated number of Head Start and Early Head Start children and families will be discussed. After discussing the people who make up TREC communities, we shall transition to topics related to community needs in regards to education, health, social services, child care, and community resources. Other items, such as employment trends and community growth will also receive attention in the assessment as they are important indicators related to community needs. Last, the assessment will take time to profile each of our counties and present data outlining </w:t>
      </w:r>
      <w:proofErr w:type="gramStart"/>
      <w:r>
        <w:t>critical</w:t>
      </w:r>
      <w:proofErr w:type="gramEnd"/>
      <w:r>
        <w:t xml:space="preserve"> success factors.</w:t>
      </w:r>
      <w:r w:rsidR="00A43CBF">
        <w:rPr>
          <w:noProof/>
        </w:rPr>
        <w:drawing>
          <wp:inline distT="0" distB="0" distL="0" distR="0" wp14:anchorId="58052B8F" wp14:editId="5964FFBD">
            <wp:extent cx="5311471" cy="2647784"/>
            <wp:effectExtent l="0" t="38100" r="0" b="11493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26B0D" w:rsidRDefault="00FA4CED" w:rsidP="00926B0D">
      <w:pPr>
        <w:pStyle w:val="Heading1"/>
      </w:pPr>
      <w:bookmarkStart w:id="1" w:name="_Toc416269424"/>
      <w:r>
        <w:lastRenderedPageBreak/>
        <w:t>Demographics of Head Start/Early Head Start Eligible Children &amp; Families</w:t>
      </w:r>
      <w:bookmarkEnd w:id="1"/>
    </w:p>
    <w:p w:rsidR="00211C9A" w:rsidRDefault="00415CA5" w:rsidP="007E558F">
      <w:pPr>
        <w:spacing w:line="480" w:lineRule="auto"/>
        <w:ind w:firstLine="720"/>
      </w:pPr>
      <w:r>
        <w:t xml:space="preserve">The first section of the Community Assessment for TREC – Badlands Head Start seeks to focus on the overall demographics of our service area. Demographics allow us to get a general gauge on the makeup of our </w:t>
      </w:r>
      <w:r w:rsidR="00E71A8B">
        <w:t>families,</w:t>
      </w:r>
      <w:r>
        <w:t xml:space="preserve"> tailor needs with regard to culture, and better understand certain needs or issues associated with the given populous. </w:t>
      </w:r>
    </w:p>
    <w:p w:rsidR="004F0347" w:rsidRDefault="004F0347" w:rsidP="004F0347">
      <w:pPr>
        <w:pStyle w:val="Heading2"/>
      </w:pPr>
      <w:bookmarkStart w:id="2" w:name="_Toc416269425"/>
      <w:r>
        <w:t>Geographic makeup</w:t>
      </w:r>
      <w:r w:rsidR="00EE7CAF">
        <w:t xml:space="preserve"> and overall population</w:t>
      </w:r>
      <w:bookmarkEnd w:id="2"/>
    </w:p>
    <w:p w:rsidR="006A5F7F" w:rsidRDefault="00EE7CAF" w:rsidP="00DC2AB5">
      <w:pPr>
        <w:spacing w:line="480" w:lineRule="auto"/>
        <w:ind w:firstLine="720"/>
      </w:pPr>
      <w:r>
        <w:t>As you can see from the map below, TREC – BHS covers a very expansive service area</w:t>
      </w:r>
      <w:r w:rsidR="004144E0">
        <w:t xml:space="preserve"> (figure 1.1)</w:t>
      </w:r>
      <w:r>
        <w:t xml:space="preserve">. In fact, the TREC – BHS service area </w:t>
      </w:r>
      <w:r w:rsidR="0073482A">
        <w:t>covers approximately</w:t>
      </w:r>
      <w:r w:rsidR="00A90A02">
        <w:rPr>
          <w:color w:val="FF0000"/>
        </w:rPr>
        <w:t xml:space="preserve"> </w:t>
      </w:r>
      <w:r w:rsidR="00A90A02" w:rsidRPr="00A90A02">
        <w:t>13, 500 square miles</w:t>
      </w:r>
      <w:r w:rsidR="004144E0" w:rsidRPr="00A90A02">
        <w:t xml:space="preserve">. </w:t>
      </w:r>
      <w:r w:rsidR="0073482A">
        <w:t xml:space="preserve">Having a service area this large has some impact as it relates to travel and home-based services. </w:t>
      </w:r>
    </w:p>
    <w:p w:rsidR="004F0347" w:rsidRDefault="00B0031F" w:rsidP="006A5F7F">
      <w:pPr>
        <w:jc w:val="center"/>
      </w:pPr>
      <w:r>
        <w:rPr>
          <w:noProof/>
        </w:rPr>
        <mc:AlternateContent>
          <mc:Choice Requires="wps">
            <w:drawing>
              <wp:anchor distT="0" distB="0" distL="114300" distR="114300" simplePos="0" relativeHeight="251666432" behindDoc="0" locked="0" layoutInCell="1" allowOverlap="1" wp14:anchorId="12B3D9FE" wp14:editId="18BEA112">
                <wp:simplePos x="0" y="0"/>
                <wp:positionH relativeFrom="column">
                  <wp:posOffset>705181</wp:posOffset>
                </wp:positionH>
                <wp:positionV relativeFrom="paragraph">
                  <wp:posOffset>669290</wp:posOffset>
                </wp:positionV>
                <wp:extent cx="2374265" cy="140398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sidP="006A5F7F">
                            <w:r>
                              <w:t>Butte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55.55pt;margin-top:52.7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" filled="f" stroked="f">
                <v:textbox style="mso-fit-shape-to-text:t">
                  <w:txbxContent>
                    <w:p w:rsidR="00574613" w:rsidRDefault="00574613" w:rsidP="006A5F7F">
                      <w:r>
                        <w:t>Butte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435E111" wp14:editId="0208257E">
                <wp:simplePos x="0" y="0"/>
                <wp:positionH relativeFrom="column">
                  <wp:posOffset>647065</wp:posOffset>
                </wp:positionH>
                <wp:positionV relativeFrom="paragraph">
                  <wp:posOffset>157176</wp:posOffset>
                </wp:positionV>
                <wp:extent cx="2374265" cy="140398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
                              <w:t>Harding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50.95pt;margin-top:12.4pt;width:186.95pt;height:110.5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SGEgIAAPwDAAAOAAAAZHJzL2Uyb0RvYy54bWysU9uO2yAQfa/Uf0C8N3acZJNYcVbb3aaq&#10;tL1Iu/0AgnGMCgwFEjv9+h1wNr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" filled="f" stroked="f">
                <v:textbox style="mso-fit-shape-to-text:t">
                  <w:txbxContent>
                    <w:p w:rsidR="00574613" w:rsidRDefault="00574613">
                      <w:r>
                        <w:t>Harding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D92FDDC" wp14:editId="5B21A568">
                <wp:simplePos x="0" y="0"/>
                <wp:positionH relativeFrom="column">
                  <wp:posOffset>1270331</wp:posOffset>
                </wp:positionH>
                <wp:positionV relativeFrom="paragraph">
                  <wp:posOffset>157480</wp:posOffset>
                </wp:positionV>
                <wp:extent cx="2374265" cy="1403985"/>
                <wp:effectExtent l="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sidP="006A5F7F">
                            <w:r>
                              <w:t>Perkins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100.05pt;margin-top:12.4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" filled="f" stroked="f">
                <v:textbox style="mso-fit-shape-to-text:t">
                  <w:txbxContent>
                    <w:p w:rsidR="00574613" w:rsidRDefault="00574613" w:rsidP="006A5F7F">
                      <w:r>
                        <w:t>Perkins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4D37860" wp14:editId="2FBDBC70">
                <wp:simplePos x="0" y="0"/>
                <wp:positionH relativeFrom="column">
                  <wp:posOffset>1196009</wp:posOffset>
                </wp:positionH>
                <wp:positionV relativeFrom="paragraph">
                  <wp:posOffset>1713230</wp:posOffset>
                </wp:positionV>
                <wp:extent cx="2374265" cy="1403985"/>
                <wp:effectExtent l="0" t="0"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sidP="006A5F7F">
                            <w:r>
                              <w:t>Shannon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left:0;text-align:left;margin-left:94.15pt;margin-top:134.9pt;width:186.95pt;height:110.55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" filled="f" stroked="f">
                <v:textbox style="mso-fit-shape-to-text:t">
                  <w:txbxContent>
                    <w:p w:rsidR="00574613" w:rsidRDefault="00574613" w:rsidP="006A5F7F">
                      <w:r>
                        <w:t>Shannon</w:t>
                      </w:r>
                    </w:p>
                  </w:txbxContent>
                </v:textbox>
              </v:shape>
            </w:pict>
          </mc:Fallback>
        </mc:AlternateContent>
      </w:r>
      <w:r w:rsidR="00A90A02">
        <w:rPr>
          <w:noProof/>
        </w:rPr>
        <mc:AlternateContent>
          <mc:Choice Requires="wps">
            <w:drawing>
              <wp:anchor distT="0" distB="0" distL="114300" distR="114300" simplePos="0" relativeHeight="251671552" behindDoc="0" locked="0" layoutInCell="1" allowOverlap="1" wp14:anchorId="1CF2EC0E" wp14:editId="2E56A6FC">
                <wp:simplePos x="0" y="0"/>
                <wp:positionH relativeFrom="column">
                  <wp:posOffset>2051438</wp:posOffset>
                </wp:positionH>
                <wp:positionV relativeFrom="paragraph">
                  <wp:posOffset>1775874</wp:posOffset>
                </wp:positionV>
                <wp:extent cx="429369" cy="397317"/>
                <wp:effectExtent l="38100" t="0" r="27940" b="60325"/>
                <wp:wrapNone/>
                <wp:docPr id="9" name="Straight Arrow Connector 9"/>
                <wp:cNvGraphicFramePr/>
                <a:graphic xmlns:a="http://schemas.openxmlformats.org/drawingml/2006/main">
                  <a:graphicData uri="http://schemas.microsoft.com/office/word/2010/wordprocessingShape">
                    <wps:wsp>
                      <wps:cNvCnPr/>
                      <wps:spPr>
                        <a:xfrm flipH="1">
                          <a:off x="0" y="0"/>
                          <a:ext cx="429369" cy="39731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61.55pt;margin-top:139.85pt;width:33.8pt;height:31.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" strokecolor="black [3040]">
                <v:stroke endarrow="open"/>
              </v:shape>
            </w:pict>
          </mc:Fallback>
        </mc:AlternateContent>
      </w:r>
      <w:r w:rsidR="00A90A02">
        <w:rPr>
          <w:noProof/>
        </w:rPr>
        <mc:AlternateContent>
          <mc:Choice Requires="wps">
            <w:drawing>
              <wp:anchor distT="0" distB="0" distL="114300" distR="114300" simplePos="0" relativeHeight="251664384" behindDoc="0" locked="0" layoutInCell="1" allowOverlap="1" wp14:anchorId="4D50D97A" wp14:editId="31B4058C">
                <wp:simplePos x="0" y="0"/>
                <wp:positionH relativeFrom="column">
                  <wp:posOffset>1934845</wp:posOffset>
                </wp:positionH>
                <wp:positionV relativeFrom="paragraph">
                  <wp:posOffset>80010</wp:posOffset>
                </wp:positionV>
                <wp:extent cx="2374265" cy="1403985"/>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sidP="006A5F7F">
                            <w:r>
                              <w:t>Corson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152.35pt;margin-top:6.3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" filled="f" stroked="f">
                <v:textbox style="mso-fit-shape-to-text:t">
                  <w:txbxContent>
                    <w:p w:rsidR="00574613" w:rsidRDefault="00574613" w:rsidP="006A5F7F">
                      <w:r>
                        <w:t>Corson</w:t>
                      </w:r>
                    </w:p>
                  </w:txbxContent>
                </v:textbox>
              </v:shape>
            </w:pict>
          </mc:Fallback>
        </mc:AlternateContent>
      </w:r>
      <w:r w:rsidR="006A5F7F">
        <w:rPr>
          <w:noProof/>
        </w:rPr>
        <mc:AlternateContent>
          <mc:Choice Requires="wps">
            <w:drawing>
              <wp:anchor distT="0" distB="0" distL="114300" distR="114300" simplePos="0" relativeHeight="251668480" behindDoc="0" locked="0" layoutInCell="1" allowOverlap="1" wp14:anchorId="624598BC" wp14:editId="23014C13">
                <wp:simplePos x="0" y="0"/>
                <wp:positionH relativeFrom="column">
                  <wp:posOffset>2231390</wp:posOffset>
                </wp:positionH>
                <wp:positionV relativeFrom="paragraph">
                  <wp:posOffset>1433830</wp:posOffset>
                </wp:positionV>
                <wp:extent cx="2374265" cy="1403985"/>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574613" w:rsidRDefault="00574613" w:rsidP="006A5F7F">
                            <w:r>
                              <w:t>Bennett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175.7pt;margin-top:112.9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" filled="f" stroked="f">
                <v:textbox style="mso-fit-shape-to-text:t">
                  <w:txbxContent>
                    <w:p w:rsidR="00574613" w:rsidRDefault="00574613" w:rsidP="006A5F7F">
                      <w:r>
                        <w:t>Bennett</w:t>
                      </w:r>
                    </w:p>
                  </w:txbxContent>
                </v:textbox>
              </v:shape>
            </w:pict>
          </mc:Fallback>
        </mc:AlternateContent>
      </w:r>
      <w:r w:rsidR="006A5F7F">
        <w:rPr>
          <w:noProof/>
        </w:rPr>
        <w:drawing>
          <wp:inline distT="0" distB="0" distL="0" distR="0" wp14:anchorId="03D03E56" wp14:editId="66F41D04">
            <wp:extent cx="4486431" cy="2464904"/>
            <wp:effectExtent l="171450" t="171450" r="371475" b="3549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C_Counties.JPG"/>
                    <pic:cNvPicPr/>
                  </pic:nvPicPr>
                  <pic:blipFill>
                    <a:blip r:embed="rId17">
                      <a:extLst>
                        <a:ext uri="{28A0092B-C50C-407E-A947-70E740481C1C}">
                          <a14:useLocalDpi xmlns:a14="http://schemas.microsoft.com/office/drawing/2010/main" val="0"/>
                        </a:ext>
                      </a:extLst>
                    </a:blip>
                    <a:stretch>
                      <a:fillRect/>
                    </a:stretch>
                  </pic:blipFill>
                  <pic:spPr>
                    <a:xfrm>
                      <a:off x="0" y="0"/>
                      <a:ext cx="4507332" cy="2476388"/>
                    </a:xfrm>
                    <a:prstGeom prst="rect">
                      <a:avLst/>
                    </a:prstGeom>
                    <a:ln>
                      <a:noFill/>
                    </a:ln>
                    <a:effectLst>
                      <a:outerShdw blurRad="292100" dist="139700" dir="2700000" algn="tl" rotWithShape="0">
                        <a:srgbClr val="333333">
                          <a:alpha val="65000"/>
                        </a:srgbClr>
                      </a:outerShdw>
                    </a:effectLst>
                  </pic:spPr>
                </pic:pic>
              </a:graphicData>
            </a:graphic>
          </wp:inline>
        </w:drawing>
      </w:r>
    </w:p>
    <w:p w:rsidR="006A5F7F" w:rsidRPr="00E71A8B" w:rsidRDefault="006A5F7F" w:rsidP="006A5F7F">
      <w:pPr>
        <w:jc w:val="center"/>
        <w:rPr>
          <w:b/>
        </w:rPr>
      </w:pPr>
      <w:r w:rsidRPr="00E71A8B">
        <w:rPr>
          <w:b/>
        </w:rPr>
        <w:t>Figure 1.1</w:t>
      </w:r>
    </w:p>
    <w:p w:rsidR="0073482A" w:rsidRDefault="0073482A" w:rsidP="00731864">
      <w:pPr>
        <w:spacing w:line="480" w:lineRule="auto"/>
      </w:pPr>
      <w:r>
        <w:t>The TREC administrative offices</w:t>
      </w:r>
      <w:r w:rsidR="004144E0">
        <w:t xml:space="preserve"> are located in the city of Belle Fourche. Belle Fourche is centrally located in the service area and has a population of approximately 5,700 people. </w:t>
      </w:r>
    </w:p>
    <w:p w:rsidR="00A90A02" w:rsidRPr="0073482A" w:rsidRDefault="00A90A02" w:rsidP="00731864">
      <w:pPr>
        <w:spacing w:line="480" w:lineRule="auto"/>
      </w:pPr>
      <w:r>
        <w:t>As we discuss the population and demographic indicators of the service area, it will become very clear as to the rural nature of the communities and families receiving services from TREC – BHS.</w:t>
      </w:r>
    </w:p>
    <w:p w:rsidR="00A8559C" w:rsidRDefault="00A8559C" w:rsidP="00A8559C">
      <w:pPr>
        <w:pStyle w:val="Heading2"/>
      </w:pPr>
      <w:bookmarkStart w:id="3" w:name="_Toc416269426"/>
      <w:r>
        <w:lastRenderedPageBreak/>
        <w:t>Race/Ethnicity of TRec’s service area</w:t>
      </w:r>
      <w:bookmarkEnd w:id="3"/>
    </w:p>
    <w:p w:rsidR="00A8559C" w:rsidRDefault="00F21C1F" w:rsidP="00DC2AB5">
      <w:pPr>
        <w:spacing w:line="480" w:lineRule="auto"/>
        <w:ind w:firstLine="720"/>
      </w:pPr>
      <w:r>
        <w:t xml:space="preserve">TREC </w:t>
      </w:r>
      <w:r w:rsidR="00E82E27">
        <w:t>serves a</w:t>
      </w:r>
      <w:r>
        <w:t xml:space="preserve"> </w:t>
      </w:r>
      <w:r w:rsidR="00211C9A">
        <w:t>total of six counties (Bennett, Butte, Corson, Harding, Perkins, Shannon) in rural Western South Dakota. The service area tends to be geographically and culturally diverse. According to data obtained from the U.S. Census Bureau, TREC’s cou</w:t>
      </w:r>
      <w:r>
        <w:t>nties range from predominantly Caucasian in Butte, Harding, and Perkins to mostly American Indian in Corson, Bennett and Shannon counties.</w:t>
      </w:r>
      <w:r w:rsidR="00E82E27">
        <w:t xml:space="preserve"> </w:t>
      </w:r>
      <w:r w:rsidR="00A8559C">
        <w:t>See figure 1</w:t>
      </w:r>
      <w:r w:rsidR="00A90A02">
        <w:t>.2</w:t>
      </w:r>
      <w:r w:rsidR="00722286">
        <w:t xml:space="preserve"> </w:t>
      </w:r>
      <w:r w:rsidR="00A8559C">
        <w:t>for clarification.</w:t>
      </w:r>
    </w:p>
    <w:p w:rsidR="00211C9A" w:rsidRDefault="00E82E27" w:rsidP="00DC2AB5">
      <w:pPr>
        <w:spacing w:line="480" w:lineRule="auto"/>
        <w:ind w:firstLine="720"/>
      </w:pPr>
      <w:r>
        <w:t xml:space="preserve">While these data are representative of the entire population, it tells us an important programmatic lesson. </w:t>
      </w:r>
      <w:r w:rsidR="00A8559C">
        <w:t>The makeup of our service area’s inhabitants is diverse. As a result, TREC – BHS must be conscious of these differences when it comes to tailoring our program around cultural and customary elements of the children and families.</w:t>
      </w:r>
    </w:p>
    <w:tbl>
      <w:tblPr>
        <w:tblStyle w:val="LightList-Accent1"/>
        <w:tblW w:w="0" w:type="auto"/>
        <w:tblLook w:val="04A0" w:firstRow="1" w:lastRow="0" w:firstColumn="1" w:lastColumn="0" w:noHBand="0" w:noVBand="1"/>
      </w:tblPr>
      <w:tblGrid>
        <w:gridCol w:w="4101"/>
        <w:gridCol w:w="1086"/>
        <w:gridCol w:w="758"/>
        <w:gridCol w:w="911"/>
        <w:gridCol w:w="981"/>
        <w:gridCol w:w="809"/>
        <w:gridCol w:w="930"/>
      </w:tblGrid>
      <w:tr w:rsidR="00F21C1F" w:rsidRPr="00F21C1F" w:rsidTr="00F21C1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vMerge w:val="restart"/>
            <w:noWrap/>
            <w:vAlign w:val="center"/>
            <w:hideMark/>
          </w:tcPr>
          <w:p w:rsidR="00F21C1F" w:rsidRPr="00F21C1F" w:rsidRDefault="00F21C1F" w:rsidP="00F21C1F">
            <w:pPr>
              <w:jc w:val="center"/>
            </w:pPr>
            <w:r w:rsidRPr="00F21C1F">
              <w:t>Race/Ethnicity</w:t>
            </w:r>
          </w:p>
        </w:tc>
        <w:tc>
          <w:tcPr>
            <w:tcW w:w="5473" w:type="dxa"/>
            <w:gridSpan w:val="6"/>
            <w:noWrap/>
            <w:hideMark/>
          </w:tcPr>
          <w:p w:rsidR="00F21C1F" w:rsidRPr="00F21C1F" w:rsidRDefault="00F21C1F" w:rsidP="00F21C1F">
            <w:pPr>
              <w:jc w:val="center"/>
              <w:cnfStyle w:val="100000000000" w:firstRow="1" w:lastRow="0" w:firstColumn="0" w:lastColumn="0" w:oddVBand="0" w:evenVBand="0" w:oddHBand="0" w:evenHBand="0" w:firstRowFirstColumn="0" w:firstRowLastColumn="0" w:lastRowFirstColumn="0" w:lastRowLastColumn="0"/>
            </w:pPr>
            <w:r w:rsidRPr="00F21C1F">
              <w:t>Counties</w:t>
            </w:r>
          </w:p>
        </w:tc>
      </w:tr>
      <w:tr w:rsidR="00F21C1F" w:rsidRPr="00F21C1F" w:rsidTr="00F21C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vMerge/>
            <w:hideMark/>
          </w:tcPr>
          <w:p w:rsidR="00F21C1F" w:rsidRPr="00F21C1F" w:rsidRDefault="00F21C1F"/>
        </w:tc>
        <w:tc>
          <w:tcPr>
            <w:tcW w:w="1086"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Bennett</w:t>
            </w:r>
          </w:p>
        </w:tc>
        <w:tc>
          <w:tcPr>
            <w:tcW w:w="75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Butte</w:t>
            </w:r>
          </w:p>
        </w:tc>
        <w:tc>
          <w:tcPr>
            <w:tcW w:w="91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Corson</w:t>
            </w:r>
          </w:p>
        </w:tc>
        <w:tc>
          <w:tcPr>
            <w:tcW w:w="98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Harding</w:t>
            </w:r>
          </w:p>
        </w:tc>
        <w:tc>
          <w:tcPr>
            <w:tcW w:w="80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Perkins</w:t>
            </w:r>
          </w:p>
        </w:tc>
        <w:tc>
          <w:tcPr>
            <w:tcW w:w="929"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Shannon</w:t>
            </w:r>
          </w:p>
        </w:tc>
      </w:tr>
      <w:tr w:rsidR="00F21C1F" w:rsidRPr="00F21C1F" w:rsidTr="00F21C1F">
        <w:trPr>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White alone, percent, 2013 (a)    </w:t>
            </w:r>
          </w:p>
        </w:tc>
        <w:tc>
          <w:tcPr>
            <w:tcW w:w="1086"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34.0%</w:t>
            </w:r>
          </w:p>
        </w:tc>
        <w:tc>
          <w:tcPr>
            <w:tcW w:w="75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94.4%</w:t>
            </w:r>
          </w:p>
        </w:tc>
        <w:tc>
          <w:tcPr>
            <w:tcW w:w="91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31.4%</w:t>
            </w:r>
          </w:p>
        </w:tc>
        <w:tc>
          <w:tcPr>
            <w:tcW w:w="98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95.6%</w:t>
            </w:r>
          </w:p>
        </w:tc>
        <w:tc>
          <w:tcPr>
            <w:tcW w:w="80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96.9%</w:t>
            </w:r>
          </w:p>
        </w:tc>
        <w:tc>
          <w:tcPr>
            <w:tcW w:w="929"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5.3%</w:t>
            </w:r>
          </w:p>
        </w:tc>
      </w:tr>
      <w:tr w:rsidR="00F21C1F" w:rsidRPr="00F21C1F" w:rsidTr="00F21C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Black or African American alone, percent, 2013 (a)    </w:t>
            </w:r>
          </w:p>
        </w:tc>
        <w:tc>
          <w:tcPr>
            <w:tcW w:w="1086"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0.4%</w:t>
            </w:r>
          </w:p>
        </w:tc>
        <w:tc>
          <w:tcPr>
            <w:tcW w:w="75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0.8%</w:t>
            </w:r>
          </w:p>
        </w:tc>
        <w:tc>
          <w:tcPr>
            <w:tcW w:w="91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0.2%</w:t>
            </w:r>
          </w:p>
        </w:tc>
        <w:tc>
          <w:tcPr>
            <w:tcW w:w="98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0.6%</w:t>
            </w:r>
          </w:p>
        </w:tc>
        <w:tc>
          <w:tcPr>
            <w:tcW w:w="80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0.3%</w:t>
            </w:r>
          </w:p>
        </w:tc>
        <w:tc>
          <w:tcPr>
            <w:tcW w:w="929"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0.2%</w:t>
            </w:r>
          </w:p>
        </w:tc>
      </w:tr>
      <w:tr w:rsidR="00F21C1F" w:rsidRPr="00F21C1F" w:rsidTr="00F21C1F">
        <w:trPr>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American Indian and Alaska Native alone, percent, 2013 (a)    </w:t>
            </w:r>
          </w:p>
        </w:tc>
        <w:tc>
          <w:tcPr>
            <w:tcW w:w="1086"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59.7%</w:t>
            </w:r>
          </w:p>
        </w:tc>
        <w:tc>
          <w:tcPr>
            <w:tcW w:w="75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2.0%</w:t>
            </w:r>
          </w:p>
        </w:tc>
        <w:tc>
          <w:tcPr>
            <w:tcW w:w="91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64.8%</w:t>
            </w:r>
          </w:p>
        </w:tc>
        <w:tc>
          <w:tcPr>
            <w:tcW w:w="98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1.8%</w:t>
            </w:r>
          </w:p>
        </w:tc>
        <w:tc>
          <w:tcPr>
            <w:tcW w:w="80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1.5%</w:t>
            </w:r>
          </w:p>
        </w:tc>
        <w:tc>
          <w:tcPr>
            <w:tcW w:w="929"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92.9%</w:t>
            </w:r>
          </w:p>
        </w:tc>
      </w:tr>
      <w:tr w:rsidR="00F21C1F" w:rsidRPr="00F21C1F" w:rsidTr="00F21C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Asian alone, percent, 2013 (a)    </w:t>
            </w:r>
          </w:p>
        </w:tc>
        <w:tc>
          <w:tcPr>
            <w:tcW w:w="1086"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0.7%</w:t>
            </w:r>
          </w:p>
        </w:tc>
        <w:tc>
          <w:tcPr>
            <w:tcW w:w="75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0.3%</w:t>
            </w:r>
          </w:p>
        </w:tc>
        <w:tc>
          <w:tcPr>
            <w:tcW w:w="91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0.3%</w:t>
            </w:r>
          </w:p>
        </w:tc>
        <w:tc>
          <w:tcPr>
            <w:tcW w:w="98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0.2%</w:t>
            </w:r>
          </w:p>
        </w:tc>
        <w:tc>
          <w:tcPr>
            <w:tcW w:w="80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0.3%</w:t>
            </w:r>
          </w:p>
        </w:tc>
        <w:tc>
          <w:tcPr>
            <w:tcW w:w="929"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0.1%</w:t>
            </w:r>
          </w:p>
        </w:tc>
      </w:tr>
      <w:tr w:rsidR="00F21C1F" w:rsidRPr="00F21C1F" w:rsidTr="00F21C1F">
        <w:trPr>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Native Hawaiian and Other Pacific Islander alone, percent, 2013 (a)    </w:t>
            </w:r>
          </w:p>
        </w:tc>
        <w:tc>
          <w:tcPr>
            <w:tcW w:w="1086"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Z</w:t>
            </w:r>
          </w:p>
        </w:tc>
        <w:tc>
          <w:tcPr>
            <w:tcW w:w="75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0.1%</w:t>
            </w:r>
          </w:p>
        </w:tc>
        <w:tc>
          <w:tcPr>
            <w:tcW w:w="91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0.1%</w:t>
            </w:r>
          </w:p>
        </w:tc>
        <w:tc>
          <w:tcPr>
            <w:tcW w:w="98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0.0%</w:t>
            </w:r>
          </w:p>
        </w:tc>
        <w:tc>
          <w:tcPr>
            <w:tcW w:w="80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0.0%</w:t>
            </w:r>
          </w:p>
        </w:tc>
        <w:tc>
          <w:tcPr>
            <w:tcW w:w="929"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Z</w:t>
            </w:r>
          </w:p>
        </w:tc>
      </w:tr>
      <w:tr w:rsidR="00F21C1F" w:rsidRPr="00F21C1F" w:rsidTr="00F21C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Two or More Races, percent, 2013    </w:t>
            </w:r>
          </w:p>
        </w:tc>
        <w:tc>
          <w:tcPr>
            <w:tcW w:w="1086"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5.2%</w:t>
            </w:r>
          </w:p>
        </w:tc>
        <w:tc>
          <w:tcPr>
            <w:tcW w:w="75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2.5%</w:t>
            </w:r>
          </w:p>
        </w:tc>
        <w:tc>
          <w:tcPr>
            <w:tcW w:w="91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3.1%</w:t>
            </w:r>
          </w:p>
        </w:tc>
        <w:tc>
          <w:tcPr>
            <w:tcW w:w="98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1.9%</w:t>
            </w:r>
          </w:p>
        </w:tc>
        <w:tc>
          <w:tcPr>
            <w:tcW w:w="80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1.0%</w:t>
            </w:r>
          </w:p>
        </w:tc>
        <w:tc>
          <w:tcPr>
            <w:tcW w:w="929"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1.5%</w:t>
            </w:r>
          </w:p>
        </w:tc>
      </w:tr>
      <w:tr w:rsidR="00F21C1F" w:rsidRPr="00F21C1F" w:rsidTr="00F21C1F">
        <w:trPr>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Hispanic or Latino, percent, 2013 (b)    </w:t>
            </w:r>
          </w:p>
        </w:tc>
        <w:tc>
          <w:tcPr>
            <w:tcW w:w="1086"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3.3%</w:t>
            </w:r>
          </w:p>
        </w:tc>
        <w:tc>
          <w:tcPr>
            <w:tcW w:w="75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3.5%</w:t>
            </w:r>
          </w:p>
        </w:tc>
        <w:tc>
          <w:tcPr>
            <w:tcW w:w="91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3.8%</w:t>
            </w:r>
          </w:p>
        </w:tc>
        <w:tc>
          <w:tcPr>
            <w:tcW w:w="981"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2.5%</w:t>
            </w:r>
          </w:p>
        </w:tc>
        <w:tc>
          <w:tcPr>
            <w:tcW w:w="808"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1.1%</w:t>
            </w:r>
          </w:p>
        </w:tc>
        <w:tc>
          <w:tcPr>
            <w:tcW w:w="929" w:type="dxa"/>
            <w:noWrap/>
            <w:hideMark/>
          </w:tcPr>
          <w:p w:rsidR="00F21C1F" w:rsidRPr="00F21C1F" w:rsidRDefault="00F21C1F">
            <w:pPr>
              <w:cnfStyle w:val="000000000000" w:firstRow="0" w:lastRow="0" w:firstColumn="0" w:lastColumn="0" w:oddVBand="0" w:evenVBand="0" w:oddHBand="0" w:evenHBand="0" w:firstRowFirstColumn="0" w:firstRowLastColumn="0" w:lastRowFirstColumn="0" w:lastRowLastColumn="0"/>
            </w:pPr>
            <w:r w:rsidRPr="00F21C1F">
              <w:t>3.0%</w:t>
            </w:r>
          </w:p>
        </w:tc>
      </w:tr>
      <w:tr w:rsidR="00F21C1F" w:rsidRPr="00F21C1F" w:rsidTr="00F21C1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3" w:type="dxa"/>
            <w:noWrap/>
            <w:hideMark/>
          </w:tcPr>
          <w:p w:rsidR="00F21C1F" w:rsidRPr="00F21C1F" w:rsidRDefault="00F21C1F">
            <w:r w:rsidRPr="00F21C1F">
              <w:t xml:space="preserve">White alone, not Hispanic or Latino, percent, 2013    </w:t>
            </w:r>
          </w:p>
        </w:tc>
        <w:tc>
          <w:tcPr>
            <w:tcW w:w="1086"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32.9%</w:t>
            </w:r>
          </w:p>
        </w:tc>
        <w:tc>
          <w:tcPr>
            <w:tcW w:w="75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91.6%</w:t>
            </w:r>
          </w:p>
        </w:tc>
        <w:tc>
          <w:tcPr>
            <w:tcW w:w="91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30.8%</w:t>
            </w:r>
          </w:p>
        </w:tc>
        <w:tc>
          <w:tcPr>
            <w:tcW w:w="981"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93.7%</w:t>
            </w:r>
          </w:p>
        </w:tc>
        <w:tc>
          <w:tcPr>
            <w:tcW w:w="808"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96.0%</w:t>
            </w:r>
          </w:p>
        </w:tc>
        <w:tc>
          <w:tcPr>
            <w:tcW w:w="929" w:type="dxa"/>
            <w:noWrap/>
            <w:hideMark/>
          </w:tcPr>
          <w:p w:rsidR="00F21C1F" w:rsidRPr="00F21C1F" w:rsidRDefault="00F21C1F">
            <w:pPr>
              <w:cnfStyle w:val="000000100000" w:firstRow="0" w:lastRow="0" w:firstColumn="0" w:lastColumn="0" w:oddVBand="0" w:evenVBand="0" w:oddHBand="1" w:evenHBand="0" w:firstRowFirstColumn="0" w:firstRowLastColumn="0" w:lastRowFirstColumn="0" w:lastRowLastColumn="0"/>
            </w:pPr>
            <w:r w:rsidRPr="00F21C1F">
              <w:t>4.8%</w:t>
            </w:r>
          </w:p>
        </w:tc>
      </w:tr>
    </w:tbl>
    <w:p w:rsidR="007E558F" w:rsidRDefault="00F21C1F" w:rsidP="007E558F">
      <w:pPr>
        <w:jc w:val="center"/>
        <w:rPr>
          <w:b/>
        </w:rPr>
      </w:pPr>
      <w:r w:rsidRPr="00A8559C">
        <w:rPr>
          <w:b/>
        </w:rPr>
        <w:t>Figure 1</w:t>
      </w:r>
      <w:r w:rsidR="00A90A02">
        <w:rPr>
          <w:b/>
        </w:rPr>
        <w:t>.2</w:t>
      </w:r>
    </w:p>
    <w:p w:rsidR="007E558F" w:rsidRPr="007E558F" w:rsidRDefault="007E558F" w:rsidP="00EB579C">
      <w:pPr>
        <w:rPr>
          <w:b/>
        </w:rPr>
      </w:pPr>
    </w:p>
    <w:p w:rsidR="00F21C1F" w:rsidRDefault="00A90A02" w:rsidP="00A8559C">
      <w:pPr>
        <w:pStyle w:val="Heading2"/>
      </w:pPr>
      <w:r>
        <w:t xml:space="preserve"> </w:t>
      </w:r>
      <w:bookmarkStart w:id="4" w:name="_Toc416269427"/>
      <w:r>
        <w:t xml:space="preserve">Overall Population and </w:t>
      </w:r>
      <w:r w:rsidR="00A8559C">
        <w:t>estimated number of head start children</w:t>
      </w:r>
      <w:bookmarkEnd w:id="4"/>
    </w:p>
    <w:p w:rsidR="00C1712A" w:rsidRDefault="00C1712A" w:rsidP="00C1712A">
      <w:pPr>
        <w:pStyle w:val="Heading3"/>
      </w:pPr>
      <w:bookmarkStart w:id="5" w:name="_Toc416269428"/>
      <w:r>
        <w:t>Community Growth</w:t>
      </w:r>
      <w:bookmarkEnd w:id="5"/>
    </w:p>
    <w:p w:rsidR="009B0524" w:rsidRDefault="00A90A02" w:rsidP="00DC2AB5">
      <w:pPr>
        <w:spacing w:line="480" w:lineRule="auto"/>
        <w:ind w:firstLine="720"/>
      </w:pPr>
      <w:r>
        <w:t>As we alluded to earlier, the TREC – BHS service area is large in terms of square miles, but it is also very rural in nature. In fact</w:t>
      </w:r>
      <w:r w:rsidR="00722286">
        <w:t xml:space="preserve">, the total population of the service area is estimated to be </w:t>
      </w:r>
      <w:r w:rsidR="00B0031F">
        <w:t xml:space="preserve">approximately 36,414 people. This equates to roughly 2.83 people per square mile. </w:t>
      </w:r>
    </w:p>
    <w:p w:rsidR="00B675F8" w:rsidRDefault="009B0524" w:rsidP="00DC2AB5">
      <w:pPr>
        <w:spacing w:line="480" w:lineRule="auto"/>
        <w:ind w:firstLine="720"/>
      </w:pPr>
      <w:r>
        <w:lastRenderedPageBreak/>
        <w:t xml:space="preserve">Limited employment opportunities have hampered community growth in some of TREC’s service area. In fact, Harding and Bennett counties were quite stagnant. Because these communities are so rural, most opportunities for employment exist outside of their communities. </w:t>
      </w:r>
      <w:r w:rsidR="00B675F8">
        <w:t>This three year trend is evidenced below.</w:t>
      </w:r>
    </w:p>
    <w:p w:rsidR="00B675F8" w:rsidRDefault="009B0524" w:rsidP="00DC2AB5">
      <w:pPr>
        <w:spacing w:line="480" w:lineRule="auto"/>
        <w:ind w:firstLine="720"/>
      </w:pPr>
      <w:r>
        <w:t xml:space="preserve">Conversely, Butte, Corson, and Shannon counties saw respectable growth numbers from 2010 – 2013. Geographically speaking, one could plausibly argue that because of abundant jobs in the North Dakota oil fields, the northernmost counties saw more growth. </w:t>
      </w:r>
    </w:p>
    <w:p w:rsidR="007A2299" w:rsidRPr="007A2299" w:rsidRDefault="007A2299" w:rsidP="007A2299">
      <w:pPr>
        <w:spacing w:after="0" w:line="480" w:lineRule="auto"/>
        <w:jc w:val="center"/>
        <w:rPr>
          <w:b/>
        </w:rPr>
      </w:pPr>
      <w:r w:rsidRPr="007A2299">
        <w:rPr>
          <w:b/>
        </w:rPr>
        <w:t>Community Growth</w:t>
      </w:r>
    </w:p>
    <w:tbl>
      <w:tblPr>
        <w:tblStyle w:val="MediumShading1-Accent1"/>
        <w:tblW w:w="0" w:type="auto"/>
        <w:jc w:val="center"/>
        <w:tblLook w:val="04A0" w:firstRow="1" w:lastRow="0" w:firstColumn="1" w:lastColumn="0" w:noHBand="0" w:noVBand="1"/>
      </w:tblPr>
      <w:tblGrid>
        <w:gridCol w:w="1121"/>
        <w:gridCol w:w="785"/>
        <w:gridCol w:w="980"/>
        <w:gridCol w:w="1102"/>
        <w:gridCol w:w="1030"/>
        <w:gridCol w:w="1223"/>
      </w:tblGrid>
      <w:tr w:rsidR="009B0524" w:rsidRPr="009B0524" w:rsidTr="007A229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241" w:type="dxa"/>
            <w:gridSpan w:val="6"/>
            <w:noWrap/>
            <w:hideMark/>
          </w:tcPr>
          <w:p w:rsidR="009B0524" w:rsidRPr="009B0524" w:rsidRDefault="009B0524" w:rsidP="009B0524">
            <w:pPr>
              <w:jc w:val="center"/>
            </w:pPr>
            <w:r w:rsidRPr="009B0524">
              <w:t xml:space="preserve">Percent Population Change by County (2010 </w:t>
            </w:r>
            <w:r w:rsidR="00E71A8B">
              <w:t>–</w:t>
            </w:r>
            <w:r w:rsidRPr="009B0524">
              <w:t xml:space="preserve"> 2013)</w:t>
            </w:r>
          </w:p>
        </w:tc>
      </w:tr>
      <w:tr w:rsidR="009B0524" w:rsidRPr="009B0524" w:rsidTr="007A229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1" w:type="dxa"/>
            <w:noWrap/>
            <w:hideMark/>
          </w:tcPr>
          <w:p w:rsidR="009B0524" w:rsidRPr="009B0524" w:rsidRDefault="009B0524" w:rsidP="009B0524">
            <w:pPr>
              <w:jc w:val="center"/>
            </w:pPr>
            <w:r w:rsidRPr="009B0524">
              <w:t>Bennett</w:t>
            </w:r>
          </w:p>
        </w:tc>
        <w:tc>
          <w:tcPr>
            <w:tcW w:w="785" w:type="dxa"/>
            <w:noWrap/>
            <w:hideMark/>
          </w:tcPr>
          <w:p w:rsidR="009B0524" w:rsidRPr="009B0524" w:rsidRDefault="009B0524" w:rsidP="009B0524">
            <w:pPr>
              <w:jc w:val="center"/>
              <w:cnfStyle w:val="000000100000" w:firstRow="0" w:lastRow="0" w:firstColumn="0" w:lastColumn="0" w:oddVBand="0" w:evenVBand="0" w:oddHBand="1" w:evenHBand="0" w:firstRowFirstColumn="0" w:firstRowLastColumn="0" w:lastRowFirstColumn="0" w:lastRowLastColumn="0"/>
              <w:rPr>
                <w:b/>
                <w:bCs/>
              </w:rPr>
            </w:pPr>
            <w:r w:rsidRPr="009B0524">
              <w:rPr>
                <w:b/>
                <w:bCs/>
              </w:rPr>
              <w:t>Butte</w:t>
            </w:r>
          </w:p>
        </w:tc>
        <w:tc>
          <w:tcPr>
            <w:tcW w:w="980" w:type="dxa"/>
            <w:noWrap/>
            <w:hideMark/>
          </w:tcPr>
          <w:p w:rsidR="009B0524" w:rsidRPr="009B0524" w:rsidRDefault="009B0524" w:rsidP="009B0524">
            <w:pPr>
              <w:jc w:val="center"/>
              <w:cnfStyle w:val="000000100000" w:firstRow="0" w:lastRow="0" w:firstColumn="0" w:lastColumn="0" w:oddVBand="0" w:evenVBand="0" w:oddHBand="1" w:evenHBand="0" w:firstRowFirstColumn="0" w:firstRowLastColumn="0" w:lastRowFirstColumn="0" w:lastRowLastColumn="0"/>
              <w:rPr>
                <w:b/>
                <w:bCs/>
              </w:rPr>
            </w:pPr>
            <w:r w:rsidRPr="009B0524">
              <w:rPr>
                <w:b/>
                <w:bCs/>
              </w:rPr>
              <w:t>Corson</w:t>
            </w:r>
          </w:p>
        </w:tc>
        <w:tc>
          <w:tcPr>
            <w:tcW w:w="1102" w:type="dxa"/>
            <w:noWrap/>
            <w:hideMark/>
          </w:tcPr>
          <w:p w:rsidR="009B0524" w:rsidRPr="009B0524" w:rsidRDefault="009B0524" w:rsidP="009B0524">
            <w:pPr>
              <w:jc w:val="center"/>
              <w:cnfStyle w:val="000000100000" w:firstRow="0" w:lastRow="0" w:firstColumn="0" w:lastColumn="0" w:oddVBand="0" w:evenVBand="0" w:oddHBand="1" w:evenHBand="0" w:firstRowFirstColumn="0" w:firstRowLastColumn="0" w:lastRowFirstColumn="0" w:lastRowLastColumn="0"/>
              <w:rPr>
                <w:b/>
                <w:bCs/>
              </w:rPr>
            </w:pPr>
            <w:r w:rsidRPr="009B0524">
              <w:rPr>
                <w:b/>
                <w:bCs/>
              </w:rPr>
              <w:t>Harding</w:t>
            </w:r>
          </w:p>
        </w:tc>
        <w:tc>
          <w:tcPr>
            <w:tcW w:w="1030" w:type="dxa"/>
            <w:noWrap/>
            <w:hideMark/>
          </w:tcPr>
          <w:p w:rsidR="009B0524" w:rsidRPr="009B0524" w:rsidRDefault="009B0524" w:rsidP="009B0524">
            <w:pPr>
              <w:jc w:val="center"/>
              <w:cnfStyle w:val="000000100000" w:firstRow="0" w:lastRow="0" w:firstColumn="0" w:lastColumn="0" w:oddVBand="0" w:evenVBand="0" w:oddHBand="1" w:evenHBand="0" w:firstRowFirstColumn="0" w:firstRowLastColumn="0" w:lastRowFirstColumn="0" w:lastRowLastColumn="0"/>
              <w:rPr>
                <w:b/>
                <w:bCs/>
              </w:rPr>
            </w:pPr>
            <w:r w:rsidRPr="009B0524">
              <w:rPr>
                <w:b/>
                <w:bCs/>
              </w:rPr>
              <w:t>Perkins</w:t>
            </w:r>
          </w:p>
        </w:tc>
        <w:tc>
          <w:tcPr>
            <w:tcW w:w="1223" w:type="dxa"/>
            <w:noWrap/>
            <w:hideMark/>
          </w:tcPr>
          <w:p w:rsidR="009B0524" w:rsidRPr="009B0524" w:rsidRDefault="009B0524" w:rsidP="009B0524">
            <w:pPr>
              <w:jc w:val="center"/>
              <w:cnfStyle w:val="000000100000" w:firstRow="0" w:lastRow="0" w:firstColumn="0" w:lastColumn="0" w:oddVBand="0" w:evenVBand="0" w:oddHBand="1" w:evenHBand="0" w:firstRowFirstColumn="0" w:firstRowLastColumn="0" w:lastRowFirstColumn="0" w:lastRowLastColumn="0"/>
              <w:rPr>
                <w:b/>
                <w:bCs/>
              </w:rPr>
            </w:pPr>
            <w:r w:rsidRPr="009B0524">
              <w:rPr>
                <w:b/>
                <w:bCs/>
              </w:rPr>
              <w:t>Shannon</w:t>
            </w:r>
          </w:p>
        </w:tc>
      </w:tr>
      <w:tr w:rsidR="009B0524" w:rsidRPr="009B0524" w:rsidTr="007A229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21" w:type="dxa"/>
            <w:noWrap/>
            <w:hideMark/>
          </w:tcPr>
          <w:p w:rsidR="009B0524" w:rsidRPr="009B0524" w:rsidRDefault="009B0524" w:rsidP="009B0524">
            <w:pPr>
              <w:jc w:val="center"/>
            </w:pPr>
            <w:r w:rsidRPr="009B0524">
              <w:t>0.6</w:t>
            </w:r>
          </w:p>
        </w:tc>
        <w:tc>
          <w:tcPr>
            <w:tcW w:w="785" w:type="dxa"/>
            <w:noWrap/>
            <w:hideMark/>
          </w:tcPr>
          <w:p w:rsidR="009B0524" w:rsidRPr="009B0524" w:rsidRDefault="009B0524" w:rsidP="009B0524">
            <w:pPr>
              <w:jc w:val="center"/>
              <w:cnfStyle w:val="000000010000" w:firstRow="0" w:lastRow="0" w:firstColumn="0" w:lastColumn="0" w:oddVBand="0" w:evenVBand="0" w:oddHBand="0" w:evenHBand="1" w:firstRowFirstColumn="0" w:firstRowLastColumn="0" w:lastRowFirstColumn="0" w:lastRowLastColumn="0"/>
            </w:pPr>
            <w:r w:rsidRPr="009B0524">
              <w:t>2.2</w:t>
            </w:r>
          </w:p>
        </w:tc>
        <w:tc>
          <w:tcPr>
            <w:tcW w:w="980" w:type="dxa"/>
            <w:noWrap/>
            <w:hideMark/>
          </w:tcPr>
          <w:p w:rsidR="009B0524" w:rsidRPr="009B0524" w:rsidRDefault="009B0524" w:rsidP="009B0524">
            <w:pPr>
              <w:jc w:val="center"/>
              <w:cnfStyle w:val="000000010000" w:firstRow="0" w:lastRow="0" w:firstColumn="0" w:lastColumn="0" w:oddVBand="0" w:evenVBand="0" w:oddHBand="0" w:evenHBand="1" w:firstRowFirstColumn="0" w:firstRowLastColumn="0" w:lastRowFirstColumn="0" w:lastRowLastColumn="0"/>
            </w:pPr>
            <w:r w:rsidRPr="009B0524">
              <w:t>4.1</w:t>
            </w:r>
          </w:p>
        </w:tc>
        <w:tc>
          <w:tcPr>
            <w:tcW w:w="1102" w:type="dxa"/>
            <w:noWrap/>
            <w:hideMark/>
          </w:tcPr>
          <w:p w:rsidR="009B0524" w:rsidRPr="009B0524" w:rsidRDefault="009B0524" w:rsidP="009B0524">
            <w:pPr>
              <w:jc w:val="center"/>
              <w:cnfStyle w:val="000000010000" w:firstRow="0" w:lastRow="0" w:firstColumn="0" w:lastColumn="0" w:oddVBand="0" w:evenVBand="0" w:oddHBand="0" w:evenHBand="1" w:firstRowFirstColumn="0" w:firstRowLastColumn="0" w:lastRowFirstColumn="0" w:lastRowLastColumn="0"/>
            </w:pPr>
            <w:r w:rsidRPr="009B0524">
              <w:t>0.6</w:t>
            </w:r>
          </w:p>
        </w:tc>
        <w:tc>
          <w:tcPr>
            <w:tcW w:w="1030" w:type="dxa"/>
            <w:noWrap/>
            <w:hideMark/>
          </w:tcPr>
          <w:p w:rsidR="009B0524" w:rsidRPr="009B0524" w:rsidRDefault="009B0524" w:rsidP="009B0524">
            <w:pPr>
              <w:jc w:val="center"/>
              <w:cnfStyle w:val="000000010000" w:firstRow="0" w:lastRow="0" w:firstColumn="0" w:lastColumn="0" w:oddVBand="0" w:evenVBand="0" w:oddHBand="0" w:evenHBand="1" w:firstRowFirstColumn="0" w:firstRowLastColumn="0" w:lastRowFirstColumn="0" w:lastRowLastColumn="0"/>
            </w:pPr>
            <w:r w:rsidRPr="009B0524">
              <w:t>1.8</w:t>
            </w:r>
          </w:p>
        </w:tc>
        <w:tc>
          <w:tcPr>
            <w:tcW w:w="1223" w:type="dxa"/>
            <w:noWrap/>
            <w:hideMark/>
          </w:tcPr>
          <w:p w:rsidR="009B0524" w:rsidRPr="009B0524" w:rsidRDefault="009B0524" w:rsidP="009B0524">
            <w:pPr>
              <w:jc w:val="center"/>
              <w:cnfStyle w:val="000000010000" w:firstRow="0" w:lastRow="0" w:firstColumn="0" w:lastColumn="0" w:oddVBand="0" w:evenVBand="0" w:oddHBand="0" w:evenHBand="1" w:firstRowFirstColumn="0" w:firstRowLastColumn="0" w:lastRowFirstColumn="0" w:lastRowLastColumn="0"/>
            </w:pPr>
            <w:r w:rsidRPr="009B0524">
              <w:t>3.9</w:t>
            </w:r>
          </w:p>
        </w:tc>
      </w:tr>
    </w:tbl>
    <w:p w:rsidR="00C1712A" w:rsidRPr="00E71A8B" w:rsidRDefault="00E71A8B" w:rsidP="00E71A8B">
      <w:pPr>
        <w:spacing w:line="480" w:lineRule="auto"/>
        <w:jc w:val="center"/>
        <w:rPr>
          <w:b/>
        </w:rPr>
      </w:pPr>
      <w:r w:rsidRPr="00E71A8B">
        <w:rPr>
          <w:b/>
        </w:rPr>
        <w:t>Figure 1.3</w:t>
      </w:r>
    </w:p>
    <w:p w:rsidR="00C1712A" w:rsidRDefault="00C1712A" w:rsidP="00C1712A">
      <w:pPr>
        <w:pStyle w:val="Heading3"/>
      </w:pPr>
      <w:bookmarkStart w:id="6" w:name="_Toc416269429"/>
      <w:r>
        <w:t>Area Employment Trends</w:t>
      </w:r>
      <w:bookmarkEnd w:id="6"/>
    </w:p>
    <w:p w:rsidR="009B1DF3" w:rsidRDefault="00681A85" w:rsidP="00DC2AB5">
      <w:pPr>
        <w:spacing w:line="480" w:lineRule="auto"/>
        <w:ind w:firstLine="720"/>
      </w:pPr>
      <w:r>
        <w:t xml:space="preserve">As it </w:t>
      </w:r>
      <w:r w:rsidR="006F2C87">
        <w:t>relates</w:t>
      </w:r>
      <w:r>
        <w:t xml:space="preserve"> to employment </w:t>
      </w:r>
      <w:r w:rsidR="006F2C87">
        <w:t>within</w:t>
      </w:r>
      <w:r w:rsidR="0084667C">
        <w:t xml:space="preserve"> TREC</w:t>
      </w:r>
      <w:r>
        <w:t xml:space="preserve">’s service areas, most of the region has roots in the agricultural sectors. To be clear, farming and ranching are staples of life in the areas we operate. </w:t>
      </w:r>
      <w:r w:rsidR="006F2C87">
        <w:t>According to data obtained from the American Community Survey, a</w:t>
      </w:r>
      <w:r>
        <w:t xml:space="preserve">side from agriculture, </w:t>
      </w:r>
      <w:r w:rsidR="006F2C87">
        <w:t>Public Administration and Education seem to be the primary employment providers for those residing within TREC’s service area.</w:t>
      </w:r>
      <w:r w:rsidR="003B59E1">
        <w:t xml:space="preserve"> These assumptions are validated by the data shown below. </w:t>
      </w:r>
      <w:r w:rsidR="0084667C">
        <w:t>Individual communities and counties will be discussed at greater detail later in the assessment.</w:t>
      </w:r>
    </w:p>
    <w:p w:rsidR="007E558F" w:rsidRDefault="007E558F" w:rsidP="00DC2AB5">
      <w:pPr>
        <w:spacing w:line="480" w:lineRule="auto"/>
        <w:ind w:firstLine="720"/>
      </w:pPr>
    </w:p>
    <w:p w:rsidR="009B1DF3" w:rsidRPr="0084667C" w:rsidRDefault="0084667C" w:rsidP="0084667C">
      <w:pPr>
        <w:jc w:val="center"/>
        <w:rPr>
          <w:b/>
        </w:rPr>
      </w:pPr>
      <w:r w:rsidRPr="0084667C">
        <w:rPr>
          <w:b/>
        </w:rPr>
        <w:t>Employment by Industry</w:t>
      </w:r>
    </w:p>
    <w:tbl>
      <w:tblPr>
        <w:tblW w:w="9090" w:type="dxa"/>
        <w:tblInd w:w="108" w:type="dxa"/>
        <w:tblLook w:val="04A0" w:firstRow="1" w:lastRow="0" w:firstColumn="1" w:lastColumn="0" w:noHBand="0" w:noVBand="1"/>
      </w:tblPr>
      <w:tblGrid>
        <w:gridCol w:w="3111"/>
        <w:gridCol w:w="1209"/>
        <w:gridCol w:w="900"/>
        <w:gridCol w:w="900"/>
        <w:gridCol w:w="990"/>
        <w:gridCol w:w="900"/>
        <w:gridCol w:w="1080"/>
      </w:tblGrid>
      <w:tr w:rsidR="006F2C87" w:rsidRPr="006F2C87" w:rsidTr="00E070FD">
        <w:trPr>
          <w:trHeight w:val="300"/>
        </w:trPr>
        <w:tc>
          <w:tcPr>
            <w:tcW w:w="3111" w:type="dxa"/>
            <w:tcBorders>
              <w:top w:val="single" w:sz="8" w:space="0" w:color="auto"/>
              <w:left w:val="single" w:sz="4" w:space="0" w:color="9BBB59"/>
              <w:bottom w:val="nil"/>
              <w:right w:val="nil"/>
            </w:tcBorders>
            <w:shd w:val="clear" w:color="auto" w:fill="94C600" w:themeFill="accent1"/>
            <w:noWrap/>
            <w:vAlign w:val="bottom"/>
            <w:hideMark/>
          </w:tcPr>
          <w:p w:rsidR="006F2C87" w:rsidRPr="006F2C87" w:rsidRDefault="006F2C87" w:rsidP="006F2C87">
            <w:pPr>
              <w:spacing w:before="0" w:after="0" w:line="240" w:lineRule="auto"/>
              <w:jc w:val="center"/>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Industry</w:t>
            </w:r>
          </w:p>
        </w:tc>
        <w:tc>
          <w:tcPr>
            <w:tcW w:w="1209" w:type="dxa"/>
            <w:tcBorders>
              <w:top w:val="single" w:sz="8" w:space="0" w:color="auto"/>
              <w:left w:val="nil"/>
              <w:bottom w:val="nil"/>
              <w:right w:val="nil"/>
            </w:tcBorders>
            <w:shd w:val="clear" w:color="auto" w:fill="94C600" w:themeFill="accent1"/>
            <w:noWrap/>
            <w:vAlign w:val="bottom"/>
            <w:hideMark/>
          </w:tcPr>
          <w:p w:rsidR="006F2C87" w:rsidRPr="006F2C87" w:rsidRDefault="006F2C87" w:rsidP="006F2C87">
            <w:pPr>
              <w:spacing w:before="0" w:after="0" w:line="240" w:lineRule="auto"/>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Bennett</w:t>
            </w:r>
          </w:p>
        </w:tc>
        <w:tc>
          <w:tcPr>
            <w:tcW w:w="900" w:type="dxa"/>
            <w:tcBorders>
              <w:top w:val="single" w:sz="8" w:space="0" w:color="auto"/>
              <w:left w:val="nil"/>
              <w:bottom w:val="nil"/>
              <w:right w:val="nil"/>
            </w:tcBorders>
            <w:shd w:val="clear" w:color="auto" w:fill="94C600" w:themeFill="accent1"/>
            <w:noWrap/>
            <w:vAlign w:val="bottom"/>
            <w:hideMark/>
          </w:tcPr>
          <w:p w:rsidR="006F2C87" w:rsidRPr="006F2C87" w:rsidRDefault="006F2C87" w:rsidP="006F2C87">
            <w:pPr>
              <w:spacing w:before="0" w:after="0" w:line="240" w:lineRule="auto"/>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Butte</w:t>
            </w:r>
          </w:p>
        </w:tc>
        <w:tc>
          <w:tcPr>
            <w:tcW w:w="900" w:type="dxa"/>
            <w:tcBorders>
              <w:top w:val="single" w:sz="8" w:space="0" w:color="auto"/>
              <w:left w:val="nil"/>
              <w:bottom w:val="nil"/>
              <w:right w:val="nil"/>
            </w:tcBorders>
            <w:shd w:val="clear" w:color="auto" w:fill="94C600" w:themeFill="accent1"/>
            <w:noWrap/>
            <w:vAlign w:val="bottom"/>
            <w:hideMark/>
          </w:tcPr>
          <w:p w:rsidR="006F2C87" w:rsidRPr="006F2C87" w:rsidRDefault="006F2C87" w:rsidP="006F2C87">
            <w:pPr>
              <w:spacing w:before="0" w:after="0" w:line="240" w:lineRule="auto"/>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Corson</w:t>
            </w:r>
          </w:p>
        </w:tc>
        <w:tc>
          <w:tcPr>
            <w:tcW w:w="990" w:type="dxa"/>
            <w:tcBorders>
              <w:top w:val="single" w:sz="8" w:space="0" w:color="auto"/>
              <w:left w:val="nil"/>
              <w:bottom w:val="nil"/>
              <w:right w:val="nil"/>
            </w:tcBorders>
            <w:shd w:val="clear" w:color="auto" w:fill="94C600" w:themeFill="accent1"/>
            <w:noWrap/>
            <w:vAlign w:val="bottom"/>
            <w:hideMark/>
          </w:tcPr>
          <w:p w:rsidR="006F2C87" w:rsidRPr="006F2C87" w:rsidRDefault="006F2C87" w:rsidP="006F2C87">
            <w:pPr>
              <w:spacing w:before="0" w:after="0" w:line="240" w:lineRule="auto"/>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Harding</w:t>
            </w:r>
          </w:p>
        </w:tc>
        <w:tc>
          <w:tcPr>
            <w:tcW w:w="900" w:type="dxa"/>
            <w:tcBorders>
              <w:top w:val="single" w:sz="8" w:space="0" w:color="auto"/>
              <w:left w:val="nil"/>
              <w:bottom w:val="nil"/>
              <w:right w:val="nil"/>
            </w:tcBorders>
            <w:shd w:val="clear" w:color="auto" w:fill="94C600" w:themeFill="accent1"/>
            <w:noWrap/>
            <w:vAlign w:val="bottom"/>
            <w:hideMark/>
          </w:tcPr>
          <w:p w:rsidR="006F2C87" w:rsidRPr="006F2C87" w:rsidRDefault="006F2C87" w:rsidP="006F2C87">
            <w:pPr>
              <w:spacing w:before="0" w:after="0" w:line="240" w:lineRule="auto"/>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Perkins</w:t>
            </w:r>
          </w:p>
        </w:tc>
        <w:tc>
          <w:tcPr>
            <w:tcW w:w="1080" w:type="dxa"/>
            <w:tcBorders>
              <w:top w:val="single" w:sz="8" w:space="0" w:color="auto"/>
              <w:left w:val="nil"/>
              <w:bottom w:val="nil"/>
              <w:right w:val="single" w:sz="4" w:space="0" w:color="9BBB59"/>
            </w:tcBorders>
            <w:shd w:val="clear" w:color="auto" w:fill="94C600" w:themeFill="accent1"/>
            <w:noWrap/>
            <w:vAlign w:val="bottom"/>
            <w:hideMark/>
          </w:tcPr>
          <w:p w:rsidR="006F2C87" w:rsidRPr="006F2C87" w:rsidRDefault="006F2C87" w:rsidP="006F2C87">
            <w:pPr>
              <w:spacing w:before="0" w:after="0" w:line="240" w:lineRule="auto"/>
              <w:rPr>
                <w:rFonts w:ascii="Calibri" w:eastAsia="Times New Roman" w:hAnsi="Calibri" w:cs="Calibri"/>
                <w:b/>
                <w:bCs/>
                <w:color w:val="FFFFFF"/>
                <w:sz w:val="22"/>
                <w:szCs w:val="22"/>
              </w:rPr>
            </w:pPr>
            <w:r w:rsidRPr="006F2C87">
              <w:rPr>
                <w:rFonts w:ascii="Calibri" w:eastAsia="Times New Roman" w:hAnsi="Calibri" w:cs="Calibri"/>
                <w:b/>
                <w:bCs/>
                <w:color w:val="FFFFFF"/>
                <w:sz w:val="22"/>
                <w:szCs w:val="22"/>
              </w:rPr>
              <w:t>Shannon</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Agriculture, forestry, fishing and hunting, and mining</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14.70%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14.40%</w:t>
            </w:r>
          </w:p>
        </w:tc>
        <w:tc>
          <w:tcPr>
            <w:tcW w:w="900" w:type="dxa"/>
            <w:tcBorders>
              <w:top w:val="single" w:sz="4" w:space="0" w:color="9BBB59"/>
              <w:left w:val="nil"/>
              <w:bottom w:val="nil"/>
              <w:right w:val="nil"/>
            </w:tcBorders>
            <w:shd w:val="clear" w:color="000000" w:fill="92D050"/>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26.40%</w:t>
            </w:r>
          </w:p>
        </w:tc>
        <w:tc>
          <w:tcPr>
            <w:tcW w:w="990" w:type="dxa"/>
            <w:tcBorders>
              <w:top w:val="single" w:sz="4" w:space="0" w:color="9BBB59"/>
              <w:left w:val="nil"/>
              <w:bottom w:val="nil"/>
              <w:right w:val="nil"/>
            </w:tcBorders>
            <w:shd w:val="clear" w:color="000000" w:fill="92D050"/>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48.70%</w:t>
            </w:r>
          </w:p>
        </w:tc>
        <w:tc>
          <w:tcPr>
            <w:tcW w:w="900" w:type="dxa"/>
            <w:tcBorders>
              <w:top w:val="single" w:sz="4" w:space="0" w:color="9BBB59"/>
              <w:left w:val="nil"/>
              <w:bottom w:val="nil"/>
              <w:right w:val="nil"/>
            </w:tcBorders>
            <w:shd w:val="clear" w:color="92D050" w:fill="92D050"/>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27.90%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1.90%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Construction</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8.90%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9.40%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4.30%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8.80%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7.50%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3.00%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Manufacturing</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2.10%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5.70%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1.00%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0.10%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8.60%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0.50%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Wholesale trade</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1.70%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0.80%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1.60%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0.60%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2.30%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0.20%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Retail trade</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8.30%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14.30%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8.40%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9.20%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8.40%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7.00%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lastRenderedPageBreak/>
              <w:t>Transportation and warehousing, and utilities</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4.10%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7.00%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2.90%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3.90%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5.10%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1.40%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Information</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2.10%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0.50%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2.50%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0.70%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1.00%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0.00%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Finance and insurance, and real estate and rental and leasing</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6.60%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3.10%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2.90%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2.00%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2.40%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2.90%</w:t>
            </w:r>
          </w:p>
        </w:tc>
      </w:tr>
      <w:tr w:rsidR="006F2C87" w:rsidRPr="006F2C87" w:rsidTr="00E070FD">
        <w:trPr>
          <w:trHeight w:val="6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Professional, scientific, and management, and administrative and waste management services</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1.40%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4.40%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1.60%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1.60%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3.60%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2.30%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Educational services, and health care and social assistance</w:t>
            </w:r>
          </w:p>
        </w:tc>
        <w:tc>
          <w:tcPr>
            <w:tcW w:w="1209" w:type="dxa"/>
            <w:tcBorders>
              <w:top w:val="single" w:sz="4" w:space="0" w:color="9BBB59"/>
              <w:left w:val="nil"/>
              <w:bottom w:val="nil"/>
              <w:right w:val="nil"/>
            </w:tcBorders>
            <w:shd w:val="clear" w:color="000000" w:fill="92D050"/>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29.20%</w:t>
            </w:r>
          </w:p>
        </w:tc>
        <w:tc>
          <w:tcPr>
            <w:tcW w:w="900" w:type="dxa"/>
            <w:tcBorders>
              <w:top w:val="single" w:sz="4" w:space="0" w:color="9BBB59"/>
              <w:left w:val="nil"/>
              <w:bottom w:val="nil"/>
              <w:right w:val="nil"/>
            </w:tcBorders>
            <w:shd w:val="clear" w:color="000000" w:fill="92D050"/>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19.70%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24.30%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11.60%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20.90%</w:t>
            </w:r>
          </w:p>
        </w:tc>
        <w:tc>
          <w:tcPr>
            <w:tcW w:w="1080" w:type="dxa"/>
            <w:tcBorders>
              <w:top w:val="single" w:sz="4" w:space="0" w:color="9BBB59"/>
              <w:left w:val="nil"/>
              <w:bottom w:val="nil"/>
              <w:right w:val="single" w:sz="4" w:space="0" w:color="9BBB59"/>
            </w:tcBorders>
            <w:shd w:val="clear" w:color="92D050" w:fill="92D050"/>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44.90%</w:t>
            </w:r>
          </w:p>
        </w:tc>
      </w:tr>
      <w:tr w:rsidR="006F2C87" w:rsidRPr="006F2C87" w:rsidTr="00E070FD">
        <w:trPr>
          <w:trHeight w:val="6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Arts, entertainment, and recreation, and accommodation and food services</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5.70%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9.50%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9.60%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6.60%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2.90%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12.80%</w:t>
            </w:r>
          </w:p>
        </w:tc>
      </w:tr>
      <w:tr w:rsidR="006F2C87" w:rsidRPr="006F2C87" w:rsidTr="00E070FD">
        <w:trPr>
          <w:trHeight w:val="300"/>
        </w:trPr>
        <w:tc>
          <w:tcPr>
            <w:tcW w:w="3111" w:type="dxa"/>
            <w:tcBorders>
              <w:top w:val="single" w:sz="4" w:space="0" w:color="9BBB59"/>
              <w:left w:val="single" w:sz="4" w:space="0" w:color="9BBB59"/>
              <w:bottom w:val="nil"/>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Other services, except public administration</w:t>
            </w:r>
          </w:p>
        </w:tc>
        <w:tc>
          <w:tcPr>
            <w:tcW w:w="1209"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2.30%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5.80%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3.10%</w:t>
            </w:r>
          </w:p>
        </w:tc>
        <w:tc>
          <w:tcPr>
            <w:tcW w:w="99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1.60%</w:t>
            </w:r>
          </w:p>
        </w:tc>
        <w:tc>
          <w:tcPr>
            <w:tcW w:w="900" w:type="dxa"/>
            <w:tcBorders>
              <w:top w:val="single" w:sz="4" w:space="0" w:color="9BBB59"/>
              <w:left w:val="nil"/>
              <w:bottom w:val="nil"/>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5.40%</w:t>
            </w:r>
          </w:p>
        </w:tc>
        <w:tc>
          <w:tcPr>
            <w:tcW w:w="1080" w:type="dxa"/>
            <w:tcBorders>
              <w:top w:val="single" w:sz="4" w:space="0" w:color="9BBB59"/>
              <w:left w:val="nil"/>
              <w:bottom w:val="nil"/>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3.50%</w:t>
            </w:r>
          </w:p>
        </w:tc>
      </w:tr>
      <w:tr w:rsidR="006F2C87" w:rsidRPr="006F2C87" w:rsidTr="00E070FD">
        <w:trPr>
          <w:trHeight w:val="300"/>
        </w:trPr>
        <w:tc>
          <w:tcPr>
            <w:tcW w:w="3111" w:type="dxa"/>
            <w:tcBorders>
              <w:top w:val="single" w:sz="4" w:space="0" w:color="9BBB59"/>
              <w:left w:val="single" w:sz="4" w:space="0" w:color="9BBB59"/>
              <w:bottom w:val="single" w:sz="4" w:space="0" w:color="9BBB59"/>
              <w:right w:val="nil"/>
            </w:tcBorders>
            <w:shd w:val="clear" w:color="auto" w:fill="auto"/>
            <w:vAlign w:val="bottom"/>
            <w:hideMark/>
          </w:tcPr>
          <w:p w:rsidR="006F2C87" w:rsidRPr="006F2C87" w:rsidRDefault="006F2C87" w:rsidP="006F2C87">
            <w:pPr>
              <w:spacing w:before="0" w:after="0" w:line="240" w:lineRule="auto"/>
              <w:rPr>
                <w:rFonts w:ascii="Calibri" w:eastAsia="Times New Roman" w:hAnsi="Calibri" w:cs="Calibri"/>
                <w:color w:val="000000"/>
                <w:sz w:val="22"/>
                <w:szCs w:val="22"/>
              </w:rPr>
            </w:pPr>
            <w:r w:rsidRPr="006F2C87">
              <w:rPr>
                <w:rFonts w:ascii="Calibri" w:eastAsia="Times New Roman" w:hAnsi="Calibri" w:cs="Calibri"/>
                <w:color w:val="000000"/>
                <w:sz w:val="22"/>
                <w:szCs w:val="22"/>
              </w:rPr>
              <w:t>Public administration</w:t>
            </w:r>
          </w:p>
        </w:tc>
        <w:tc>
          <w:tcPr>
            <w:tcW w:w="1209" w:type="dxa"/>
            <w:tcBorders>
              <w:top w:val="single" w:sz="4" w:space="0" w:color="9BBB59"/>
              <w:left w:val="nil"/>
              <w:bottom w:val="single" w:sz="4" w:space="0" w:color="9BBB59"/>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12.90%</w:t>
            </w:r>
          </w:p>
        </w:tc>
        <w:tc>
          <w:tcPr>
            <w:tcW w:w="900" w:type="dxa"/>
            <w:tcBorders>
              <w:top w:val="single" w:sz="4" w:space="0" w:color="9BBB59"/>
              <w:left w:val="nil"/>
              <w:bottom w:val="single" w:sz="4" w:space="0" w:color="9BBB59"/>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5.30%</w:t>
            </w:r>
          </w:p>
        </w:tc>
        <w:tc>
          <w:tcPr>
            <w:tcW w:w="900" w:type="dxa"/>
            <w:tcBorders>
              <w:top w:val="single" w:sz="4" w:space="0" w:color="9BBB59"/>
              <w:left w:val="nil"/>
              <w:bottom w:val="single" w:sz="4" w:space="0" w:color="9BBB59"/>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11.40%</w:t>
            </w:r>
          </w:p>
        </w:tc>
        <w:tc>
          <w:tcPr>
            <w:tcW w:w="990" w:type="dxa"/>
            <w:tcBorders>
              <w:top w:val="single" w:sz="4" w:space="0" w:color="9BBB59"/>
              <w:left w:val="nil"/>
              <w:bottom w:val="single" w:sz="4" w:space="0" w:color="9BBB59"/>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4.50%</w:t>
            </w:r>
          </w:p>
        </w:tc>
        <w:tc>
          <w:tcPr>
            <w:tcW w:w="900" w:type="dxa"/>
            <w:tcBorders>
              <w:top w:val="single" w:sz="4" w:space="0" w:color="9BBB59"/>
              <w:left w:val="nil"/>
              <w:bottom w:val="single" w:sz="4" w:space="0" w:color="9BBB59"/>
              <w:right w:val="nil"/>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4.20%</w:t>
            </w:r>
          </w:p>
        </w:tc>
        <w:tc>
          <w:tcPr>
            <w:tcW w:w="1080" w:type="dxa"/>
            <w:tcBorders>
              <w:top w:val="single" w:sz="4" w:space="0" w:color="9BBB59"/>
              <w:left w:val="nil"/>
              <w:bottom w:val="single" w:sz="4" w:space="0" w:color="9BBB59"/>
              <w:right w:val="single" w:sz="4" w:space="0" w:color="9BBB59"/>
            </w:tcBorders>
            <w:shd w:val="clear" w:color="auto" w:fill="auto"/>
            <w:noWrap/>
            <w:vAlign w:val="bottom"/>
            <w:hideMark/>
          </w:tcPr>
          <w:p w:rsidR="006F2C87" w:rsidRPr="006F2C87" w:rsidRDefault="006F2C87" w:rsidP="006F2C87">
            <w:pPr>
              <w:spacing w:before="0" w:after="0" w:line="240" w:lineRule="auto"/>
              <w:jc w:val="right"/>
              <w:rPr>
                <w:rFonts w:ascii="Calibri" w:eastAsia="Times New Roman" w:hAnsi="Calibri" w:cs="Calibri"/>
                <w:color w:val="000000"/>
                <w:sz w:val="22"/>
                <w:szCs w:val="22"/>
              </w:rPr>
            </w:pPr>
            <w:r w:rsidRPr="006F2C87">
              <w:rPr>
                <w:rFonts w:ascii="Calibri" w:eastAsia="Times New Roman" w:hAnsi="Calibri" w:cs="Calibri"/>
                <w:color w:val="000000"/>
                <w:sz w:val="22"/>
                <w:szCs w:val="22"/>
              </w:rPr>
              <w:t>19.80%</w:t>
            </w:r>
          </w:p>
        </w:tc>
      </w:tr>
    </w:tbl>
    <w:p w:rsidR="00E71A8B" w:rsidRPr="00E71A8B" w:rsidRDefault="00E71A8B" w:rsidP="00E71A8B">
      <w:pPr>
        <w:spacing w:line="480" w:lineRule="auto"/>
        <w:jc w:val="center"/>
        <w:rPr>
          <w:b/>
        </w:rPr>
      </w:pPr>
      <w:r w:rsidRPr="00E71A8B">
        <w:rPr>
          <w:b/>
        </w:rPr>
        <w:t>Figure 1.4</w:t>
      </w:r>
    </w:p>
    <w:p w:rsidR="00FE735D" w:rsidRDefault="00EC03E8" w:rsidP="00DC2AB5">
      <w:pPr>
        <w:spacing w:line="480" w:lineRule="auto"/>
        <w:ind w:firstLine="720"/>
      </w:pPr>
      <w:r>
        <w:t xml:space="preserve">The </w:t>
      </w:r>
      <w:r w:rsidR="001A7F7B">
        <w:t xml:space="preserve">data are </w:t>
      </w:r>
      <w:r w:rsidR="004A51AA">
        <w:t xml:space="preserve">helpful in determining where people are employed, but they leave out some important contextual and economic factors that describe our communities. </w:t>
      </w:r>
      <w:r w:rsidR="00FE735D">
        <w:t xml:space="preserve">Populations in most communities where TREC offers programming are very small. Therefore, employment is often very limited in some cases. In addition, with little or stagnant community growth, economic development is stymied and prevents additional industries and corporations from entering the more rural communities. </w:t>
      </w:r>
    </w:p>
    <w:p w:rsidR="009B1DF3" w:rsidRDefault="00C1712A" w:rsidP="00C1712A">
      <w:pPr>
        <w:pStyle w:val="Heading3"/>
      </w:pPr>
      <w:bookmarkStart w:id="7" w:name="_Toc416269430"/>
      <w:r>
        <w:t>Estimated Head Start/Early Head Start Population</w:t>
      </w:r>
      <w:bookmarkEnd w:id="7"/>
    </w:p>
    <w:p w:rsidR="00B0031F" w:rsidRDefault="00B0031F" w:rsidP="00DC2AB5">
      <w:pPr>
        <w:spacing w:line="480" w:lineRule="auto"/>
        <w:ind w:firstLine="720"/>
        <w:jc w:val="both"/>
      </w:pPr>
      <w:r>
        <w:t xml:space="preserve">When it comes to the estimated number of Head Start and Early Head Start children, </w:t>
      </w:r>
      <w:r w:rsidR="00014C1F">
        <w:t xml:space="preserve">TREC utilized data from both the American Community Survey and the U.S. Census to estimate the number of children receiving Head Start and Early Head Start services. </w:t>
      </w:r>
      <w:r w:rsidR="00732BA9">
        <w:t xml:space="preserve"> </w:t>
      </w:r>
      <w:r w:rsidR="009E3000">
        <w:t xml:space="preserve">The poverty indicator was used because the reliability of other data </w:t>
      </w:r>
      <w:proofErr w:type="gramStart"/>
      <w:r w:rsidR="009E3000">
        <w:t>were</w:t>
      </w:r>
      <w:proofErr w:type="gramEnd"/>
      <w:r w:rsidR="009E3000">
        <w:t xml:space="preserve"> subject to large degrees of skepticism. To be clear, although other indicators (e.g., SNAP/TANF recipients) do hold some value, they are not stringent enough to determine Head Start or Early Head Start eligibility. </w:t>
      </w:r>
      <w:r w:rsidR="00732BA9">
        <w:t>The table below shows the estimated number of children by county.</w:t>
      </w:r>
    </w:p>
    <w:tbl>
      <w:tblPr>
        <w:tblStyle w:val="LightList-Accent1"/>
        <w:tblW w:w="6120" w:type="dxa"/>
        <w:jc w:val="center"/>
        <w:tblLook w:val="04A0" w:firstRow="1" w:lastRow="0" w:firstColumn="1" w:lastColumn="0" w:noHBand="0" w:noVBand="1"/>
      </w:tblPr>
      <w:tblGrid>
        <w:gridCol w:w="1100"/>
        <w:gridCol w:w="769"/>
        <w:gridCol w:w="968"/>
        <w:gridCol w:w="1081"/>
        <w:gridCol w:w="1003"/>
        <w:gridCol w:w="1199"/>
      </w:tblGrid>
      <w:tr w:rsidR="00C40600" w:rsidRPr="00C40600" w:rsidTr="0070369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120" w:type="dxa"/>
            <w:gridSpan w:val="6"/>
            <w:noWrap/>
            <w:hideMark/>
          </w:tcPr>
          <w:p w:rsidR="00C40600" w:rsidRPr="00C40600" w:rsidRDefault="00C40600" w:rsidP="00C40600">
            <w:pPr>
              <w:jc w:val="center"/>
              <w:rPr>
                <w:rFonts w:ascii="Calibri" w:eastAsia="Times New Roman" w:hAnsi="Calibri" w:cs="Calibri"/>
                <w:color w:val="000000"/>
                <w:sz w:val="22"/>
                <w:szCs w:val="22"/>
              </w:rPr>
            </w:pPr>
            <w:r w:rsidRPr="00C40600">
              <w:rPr>
                <w:rFonts w:ascii="Calibri" w:eastAsia="Times New Roman" w:hAnsi="Calibri" w:cs="Calibri"/>
                <w:color w:val="000000"/>
                <w:sz w:val="22"/>
                <w:szCs w:val="22"/>
              </w:rPr>
              <w:lastRenderedPageBreak/>
              <w:t>Estimated Number</w:t>
            </w:r>
            <w:r w:rsidR="00CF70CE">
              <w:rPr>
                <w:rStyle w:val="FootnoteReference"/>
                <w:rFonts w:ascii="Calibri" w:eastAsia="Times New Roman" w:hAnsi="Calibri" w:cs="Calibri"/>
                <w:color w:val="000000"/>
                <w:sz w:val="22"/>
                <w:szCs w:val="22"/>
              </w:rPr>
              <w:footnoteReference w:id="1"/>
            </w:r>
            <w:r w:rsidRPr="00C40600">
              <w:rPr>
                <w:rFonts w:ascii="Calibri" w:eastAsia="Times New Roman" w:hAnsi="Calibri" w:cs="Calibri"/>
                <w:color w:val="000000"/>
                <w:sz w:val="22"/>
                <w:szCs w:val="22"/>
              </w:rPr>
              <w:t xml:space="preserve"> of HS/EHS </w:t>
            </w:r>
            <w:r w:rsidR="00D87286" w:rsidRPr="00C40600">
              <w:rPr>
                <w:rFonts w:ascii="Calibri" w:eastAsia="Times New Roman" w:hAnsi="Calibri" w:cs="Calibri"/>
                <w:color w:val="000000"/>
                <w:sz w:val="22"/>
                <w:szCs w:val="22"/>
              </w:rPr>
              <w:t>Eligible</w:t>
            </w:r>
            <w:r w:rsidRPr="00C40600">
              <w:rPr>
                <w:rFonts w:ascii="Calibri" w:eastAsia="Times New Roman" w:hAnsi="Calibri" w:cs="Calibri"/>
                <w:color w:val="000000"/>
                <w:sz w:val="22"/>
                <w:szCs w:val="22"/>
              </w:rPr>
              <w:t xml:space="preserve"> Children</w:t>
            </w:r>
            <w:r w:rsidR="00D87286">
              <w:rPr>
                <w:rStyle w:val="FootnoteReference"/>
                <w:rFonts w:ascii="Calibri" w:eastAsia="Times New Roman" w:hAnsi="Calibri" w:cs="Calibri"/>
                <w:color w:val="000000"/>
                <w:sz w:val="22"/>
                <w:szCs w:val="22"/>
              </w:rPr>
              <w:footnoteReference w:id="2"/>
            </w:r>
          </w:p>
        </w:tc>
      </w:tr>
      <w:tr w:rsidR="00C40600" w:rsidRPr="00C40600" w:rsidTr="0070369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00" w:type="dxa"/>
            <w:noWrap/>
            <w:hideMark/>
          </w:tcPr>
          <w:p w:rsidR="00C40600" w:rsidRPr="00C40600" w:rsidRDefault="00C40600" w:rsidP="00C40600">
            <w:pPr>
              <w:rPr>
                <w:rFonts w:ascii="Calibri" w:eastAsia="Times New Roman" w:hAnsi="Calibri" w:cs="Calibri"/>
                <w:b w:val="0"/>
                <w:color w:val="000000"/>
                <w:sz w:val="22"/>
                <w:szCs w:val="22"/>
              </w:rPr>
            </w:pPr>
            <w:r w:rsidRPr="00C40600">
              <w:rPr>
                <w:rFonts w:ascii="Calibri" w:eastAsia="Times New Roman" w:hAnsi="Calibri" w:cs="Calibri"/>
                <w:b w:val="0"/>
                <w:color w:val="000000"/>
                <w:sz w:val="22"/>
                <w:szCs w:val="22"/>
              </w:rPr>
              <w:t>Bennett</w:t>
            </w:r>
          </w:p>
        </w:tc>
        <w:tc>
          <w:tcPr>
            <w:tcW w:w="769" w:type="dxa"/>
            <w:noWrap/>
            <w:hideMark/>
          </w:tcPr>
          <w:p w:rsidR="00C40600" w:rsidRPr="00C40600" w:rsidRDefault="00C40600" w:rsidP="00C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Butte</w:t>
            </w:r>
          </w:p>
        </w:tc>
        <w:tc>
          <w:tcPr>
            <w:tcW w:w="968" w:type="dxa"/>
            <w:noWrap/>
            <w:hideMark/>
          </w:tcPr>
          <w:p w:rsidR="00C40600" w:rsidRPr="00C40600" w:rsidRDefault="00C40600" w:rsidP="00C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Corson</w:t>
            </w:r>
          </w:p>
        </w:tc>
        <w:tc>
          <w:tcPr>
            <w:tcW w:w="1081" w:type="dxa"/>
            <w:noWrap/>
            <w:hideMark/>
          </w:tcPr>
          <w:p w:rsidR="00C40600" w:rsidRPr="00C40600" w:rsidRDefault="00C40600" w:rsidP="00C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Harding</w:t>
            </w:r>
          </w:p>
        </w:tc>
        <w:tc>
          <w:tcPr>
            <w:tcW w:w="1003" w:type="dxa"/>
            <w:noWrap/>
            <w:hideMark/>
          </w:tcPr>
          <w:p w:rsidR="00C40600" w:rsidRPr="00C40600" w:rsidRDefault="00C40600" w:rsidP="00C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Perkins</w:t>
            </w:r>
          </w:p>
        </w:tc>
        <w:tc>
          <w:tcPr>
            <w:tcW w:w="1199" w:type="dxa"/>
            <w:noWrap/>
            <w:hideMark/>
          </w:tcPr>
          <w:p w:rsidR="00C40600" w:rsidRPr="00C40600" w:rsidRDefault="00C40600" w:rsidP="00C406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Shannon</w:t>
            </w:r>
          </w:p>
        </w:tc>
      </w:tr>
      <w:tr w:rsidR="00C40600" w:rsidRPr="00C40600" w:rsidTr="00703692">
        <w:trPr>
          <w:trHeight w:val="300"/>
          <w:jc w:val="center"/>
        </w:trPr>
        <w:tc>
          <w:tcPr>
            <w:cnfStyle w:val="001000000000" w:firstRow="0" w:lastRow="0" w:firstColumn="1" w:lastColumn="0" w:oddVBand="0" w:evenVBand="0" w:oddHBand="0" w:evenHBand="0" w:firstRowFirstColumn="0" w:firstRowLastColumn="0" w:lastRowFirstColumn="0" w:lastRowLastColumn="0"/>
            <w:tcW w:w="1100" w:type="dxa"/>
            <w:noWrap/>
            <w:hideMark/>
          </w:tcPr>
          <w:p w:rsidR="00C40600" w:rsidRPr="00C40600" w:rsidRDefault="00C40600" w:rsidP="00C40600">
            <w:pPr>
              <w:jc w:val="right"/>
              <w:rPr>
                <w:rFonts w:ascii="Calibri" w:eastAsia="Times New Roman" w:hAnsi="Calibri" w:cs="Calibri"/>
                <w:b w:val="0"/>
                <w:color w:val="000000"/>
                <w:sz w:val="22"/>
                <w:szCs w:val="22"/>
              </w:rPr>
            </w:pPr>
            <w:r w:rsidRPr="00C40600">
              <w:rPr>
                <w:rFonts w:ascii="Calibri" w:eastAsia="Times New Roman" w:hAnsi="Calibri" w:cs="Calibri"/>
                <w:b w:val="0"/>
                <w:color w:val="000000"/>
                <w:sz w:val="22"/>
                <w:szCs w:val="22"/>
              </w:rPr>
              <w:t>217</w:t>
            </w:r>
          </w:p>
        </w:tc>
        <w:tc>
          <w:tcPr>
            <w:tcW w:w="769" w:type="dxa"/>
            <w:noWrap/>
            <w:hideMark/>
          </w:tcPr>
          <w:p w:rsidR="00C40600" w:rsidRPr="00C40600" w:rsidRDefault="00C40600" w:rsidP="00C406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91</w:t>
            </w:r>
          </w:p>
        </w:tc>
        <w:tc>
          <w:tcPr>
            <w:tcW w:w="968" w:type="dxa"/>
            <w:noWrap/>
            <w:hideMark/>
          </w:tcPr>
          <w:p w:rsidR="00C40600" w:rsidRPr="00C40600" w:rsidRDefault="00C40600" w:rsidP="00C406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198</w:t>
            </w:r>
          </w:p>
        </w:tc>
        <w:tc>
          <w:tcPr>
            <w:tcW w:w="1081" w:type="dxa"/>
            <w:noWrap/>
            <w:hideMark/>
          </w:tcPr>
          <w:p w:rsidR="00C40600" w:rsidRPr="00C40600" w:rsidRDefault="00C40600" w:rsidP="00C406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14</w:t>
            </w:r>
          </w:p>
        </w:tc>
        <w:tc>
          <w:tcPr>
            <w:tcW w:w="1003" w:type="dxa"/>
            <w:noWrap/>
            <w:hideMark/>
          </w:tcPr>
          <w:p w:rsidR="00C40600" w:rsidRPr="00C40600" w:rsidRDefault="00C40600" w:rsidP="00C406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20</w:t>
            </w:r>
          </w:p>
        </w:tc>
        <w:tc>
          <w:tcPr>
            <w:tcW w:w="1199" w:type="dxa"/>
            <w:noWrap/>
            <w:hideMark/>
          </w:tcPr>
          <w:p w:rsidR="00C40600" w:rsidRPr="00C40600" w:rsidRDefault="00C40600" w:rsidP="00C4060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C40600">
              <w:rPr>
                <w:rFonts w:ascii="Calibri" w:eastAsia="Times New Roman" w:hAnsi="Calibri" w:cs="Calibri"/>
                <w:color w:val="000000"/>
                <w:sz w:val="22"/>
                <w:szCs w:val="22"/>
              </w:rPr>
              <w:t>1102</w:t>
            </w:r>
          </w:p>
        </w:tc>
      </w:tr>
    </w:tbl>
    <w:p w:rsidR="00E71A8B" w:rsidRPr="00E71A8B" w:rsidRDefault="00E71A8B" w:rsidP="00E71A8B">
      <w:pPr>
        <w:spacing w:line="480" w:lineRule="auto"/>
        <w:jc w:val="center"/>
        <w:rPr>
          <w:b/>
        </w:rPr>
      </w:pPr>
      <w:r w:rsidRPr="00E71A8B">
        <w:rPr>
          <w:b/>
        </w:rPr>
        <w:t>Figure 1.5</w:t>
      </w:r>
    </w:p>
    <w:p w:rsidR="00C40600" w:rsidRDefault="00E070FD" w:rsidP="00DC2AB5">
      <w:pPr>
        <w:spacing w:line="480" w:lineRule="auto"/>
        <w:ind w:firstLine="720"/>
      </w:pPr>
      <w:r>
        <w:t>When looking at Shannon County, it seems that there is ample opportunity to recruit and maintain children and families for Head Start purposes. That number is misleading a there are other programs that provide similar services to low-income families. Specifically, there is another Head Start organization in Shannon County</w:t>
      </w:r>
      <w:r w:rsidR="003B59E1">
        <w:t xml:space="preserve"> that </w:t>
      </w:r>
      <w:r w:rsidR="0084667C">
        <w:t>also</w:t>
      </w:r>
      <w:r w:rsidR="003B59E1">
        <w:t xml:space="preserve"> serves children from the same population base. Each organization is</w:t>
      </w:r>
      <w:r w:rsidR="004F795C">
        <w:t xml:space="preserve"> helping to serve an area that has a great number of people requiring our services</w:t>
      </w:r>
      <w:r w:rsidR="003B59E1">
        <w:t>.</w:t>
      </w:r>
    </w:p>
    <w:p w:rsidR="00F05C26" w:rsidRDefault="00F05C26" w:rsidP="00F05C26">
      <w:pPr>
        <w:pStyle w:val="Heading3"/>
      </w:pPr>
      <w:bookmarkStart w:id="8" w:name="_Toc416269431"/>
      <w:r>
        <w:t>Family Dynamics</w:t>
      </w:r>
      <w:bookmarkEnd w:id="8"/>
    </w:p>
    <w:p w:rsidR="00F05C26" w:rsidRDefault="00F05C26" w:rsidP="00DC2AB5">
      <w:pPr>
        <w:spacing w:line="480" w:lineRule="auto"/>
        <w:ind w:firstLine="720"/>
      </w:pPr>
      <w:r>
        <w:t xml:space="preserve">When providing services to families within the TREC boundaries, it is important to consider the dynamics of past families we have traditionally served. The Program </w:t>
      </w:r>
      <w:r w:rsidR="00E05D32">
        <w:t>Information</w:t>
      </w:r>
      <w:r>
        <w:t xml:space="preserve"> Report (PIR) gives us valuable insight as to how our families are made up, and the data can help to drive our programing needs. In this section, we will discuss topics ranging from single parent families, levels of education, and homelessness. These and other topics will be covered to better understand how we can work with families in the future.</w:t>
      </w:r>
    </w:p>
    <w:p w:rsidR="008A1F52" w:rsidRDefault="00F05C26" w:rsidP="00DC2AB5">
      <w:pPr>
        <w:spacing w:line="480" w:lineRule="auto"/>
        <w:ind w:firstLine="720"/>
      </w:pPr>
      <w:r>
        <w:t>According to PIR data in 2104, 43.86%</w:t>
      </w:r>
      <w:r w:rsidR="00E05D32">
        <w:t xml:space="preserve"> (95)</w:t>
      </w:r>
      <w:r>
        <w:t xml:space="preserve"> of TREC </w:t>
      </w:r>
      <w:r w:rsidR="00E05D32">
        <w:t xml:space="preserve">families are comprised of a single parent. Traditionally, </w:t>
      </w:r>
      <w:r w:rsidR="008A1F52">
        <w:t xml:space="preserve">the likelihood of single parent families finding themselves in poverty has been much higher than two parent families. </w:t>
      </w:r>
      <w:r w:rsidR="00F55BED">
        <w:t xml:space="preserve">The absence of support and an additional income help explain this claim. </w:t>
      </w:r>
      <w:r w:rsidR="008A1F52">
        <w:t>In addition, poverty or income loss impacts parenting in an adverse way. For example, a significant loss of income and lack of subsidies add</w:t>
      </w:r>
      <w:r w:rsidR="00F55BED">
        <w:t>s additional social and emotional stressors to an already delicate dynamic.</w:t>
      </w:r>
    </w:p>
    <w:p w:rsidR="00732BA9" w:rsidRDefault="00E05D32" w:rsidP="00DC2AB5">
      <w:pPr>
        <w:spacing w:line="480" w:lineRule="auto"/>
        <w:ind w:firstLine="720"/>
      </w:pPr>
      <w:r>
        <w:t xml:space="preserve">In addition to the high number of single parent families, education plays a role in what the family can achieve from a pedagogical and employment standpoint. Most parents of children in our program have a high </w:t>
      </w:r>
      <w:r>
        <w:lastRenderedPageBreak/>
        <w:t xml:space="preserve">school diploma or GED. While this is promising, the PIR also illustrates that 49 parents of Head Start and Early Head Start programs possess less than a high school diploma (or equivalent). Although this is only one year of data, it makes an important point in terms of programming and training parents. </w:t>
      </w:r>
      <w:r w:rsidR="00F55BED">
        <w:t xml:space="preserve">Research has shown strong correlations between level of education and earnings capacity. </w:t>
      </w:r>
      <w:r>
        <w:t>If we are truly partners, something must be done to encourage and develop the parents of Head Start and Early Head Start children.</w:t>
      </w:r>
      <w:r w:rsidR="00F55BED">
        <w:t xml:space="preserve"> </w:t>
      </w:r>
    </w:p>
    <w:p w:rsidR="00211C9A" w:rsidRDefault="00EE7CAF" w:rsidP="00AD1FD2">
      <w:pPr>
        <w:pStyle w:val="Heading2"/>
      </w:pPr>
      <w:bookmarkStart w:id="9" w:name="_Toc416269432"/>
      <w:r>
        <w:t>Conclusions</w:t>
      </w:r>
      <w:bookmarkEnd w:id="9"/>
    </w:p>
    <w:p w:rsidR="004F795C" w:rsidRDefault="004F795C" w:rsidP="00A36A0C">
      <w:pPr>
        <w:spacing w:line="480" w:lineRule="auto"/>
        <w:ind w:firstLine="720"/>
      </w:pPr>
      <w:r>
        <w:t>As mentioned before, demographics of our service area plan an important part in how we plan and design our program operations. It is increasingly clear from the information presented above that a number of program options must be employed to meet the needs of children and families within the six counties. Both center and home-based head start options are appropriate for our service areas. The more rural areas may benefit greatly from the home-based Head Sta</w:t>
      </w:r>
      <w:r w:rsidR="00D567D6">
        <w:t>rt and Early Head Start option; w</w:t>
      </w:r>
      <w:r>
        <w:t xml:space="preserve">hereas, </w:t>
      </w:r>
      <w:r w:rsidR="00D567D6">
        <w:t xml:space="preserve">regions with a higher population base (e.g., Belle Fourche, Bison and Lemmon) might have more success with a center-based approach to services (with expanded home visits). </w:t>
      </w:r>
    </w:p>
    <w:p w:rsidR="00D567D6" w:rsidRDefault="00D567D6" w:rsidP="00A36A0C">
      <w:pPr>
        <w:spacing w:line="480" w:lineRule="auto"/>
      </w:pPr>
      <w:r>
        <w:tab/>
        <w:t>Race and ethnicity in our region helps us plan and tailor our program approach to the needs of each individual and their respective culture. As you can see, there is a need to plan for approaches that are sensitive to both the Anglo-Saxon (Caucasian) and Native American cultures. It is imperative that we respect each culture and incorporate traditions and norms to build relationships.</w:t>
      </w:r>
    </w:p>
    <w:p w:rsidR="00D567D6" w:rsidRDefault="00D567D6" w:rsidP="00A36A0C">
      <w:pPr>
        <w:spacing w:line="480" w:lineRule="auto"/>
      </w:pPr>
      <w:r>
        <w:tab/>
        <w:t>Family dynamics also help us plan around the needs of our families. We spoke about the estimated number of children eligible for services and find that there is a great need for Head Start and Early Head Start services in each of the counties we serve. Increasingly, Butte County is becoming a center that could see expansion. In addition, the composition of our families helps us define the services we need to provide and referrals for other programs that can be made to help families live with more stability.</w:t>
      </w:r>
    </w:p>
    <w:p w:rsidR="00D567D6" w:rsidRDefault="00D567D6" w:rsidP="00A36A0C">
      <w:pPr>
        <w:spacing w:line="480" w:lineRule="auto"/>
      </w:pPr>
      <w:r>
        <w:tab/>
        <w:t>In reflection, there is a definite need for a variety of program options in our communities. Also, the services provided and lessons taught need to be culturally diverse and pay respect to the individuals that embrace the mentioned cultures. Last, fa</w:t>
      </w:r>
      <w:r w:rsidR="00A36A0C">
        <w:t xml:space="preserve">mily composition </w:t>
      </w:r>
      <w:proofErr w:type="gramStart"/>
      <w:r w:rsidR="00A36A0C">
        <w:t xml:space="preserve">( </w:t>
      </w:r>
      <w:r>
        <w:t>dynamics</w:t>
      </w:r>
      <w:proofErr w:type="gramEnd"/>
      <w:r>
        <w:t xml:space="preserve">) give us valuable information when it comes to </w:t>
      </w:r>
      <w:r>
        <w:lastRenderedPageBreak/>
        <w:t xml:space="preserve">making referrals for additional family services. In other words, </w:t>
      </w:r>
      <w:r w:rsidR="00A36A0C">
        <w:t xml:space="preserve">it spells out a path for </w:t>
      </w:r>
      <w:r>
        <w:t>utilizing our community partners to fulfill that health, medical, and social service needs that Head Start may not be able to fill.</w:t>
      </w:r>
    </w:p>
    <w:p w:rsidR="00D567D6" w:rsidRPr="004F795C" w:rsidRDefault="00D567D6" w:rsidP="004F795C">
      <w:r>
        <w:tab/>
      </w:r>
    </w:p>
    <w:p w:rsidR="00431997" w:rsidRDefault="00431997" w:rsidP="00431997">
      <w:pPr>
        <w:pStyle w:val="Heading1"/>
      </w:pPr>
      <w:bookmarkStart w:id="10" w:name="_Toc416269433"/>
      <w:r>
        <w:t>Other Childcare providers serving TREC Children</w:t>
      </w:r>
      <w:bookmarkEnd w:id="10"/>
    </w:p>
    <w:p w:rsidR="00C936CE" w:rsidRDefault="00C936CE" w:rsidP="00D567D6">
      <w:pPr>
        <w:spacing w:line="480" w:lineRule="auto"/>
        <w:ind w:firstLine="720"/>
        <w:jc w:val="both"/>
      </w:pPr>
      <w:r>
        <w:t>Documenting and understanding the presence of other child care providers in the service area is important to understanding the need of additional child care operations to serve the children in communities where TREC is operational. Data were obtained as a result of a survey conducted during the 2013-14 school year. Additional data are unavailable at this time.</w:t>
      </w:r>
    </w:p>
    <w:p w:rsidR="00431997" w:rsidRDefault="00B46A41" w:rsidP="00D567D6">
      <w:pPr>
        <w:spacing w:line="480" w:lineRule="auto"/>
        <w:ind w:firstLine="720"/>
        <w:jc w:val="both"/>
      </w:pPr>
      <w:r>
        <w:t>In addition to the Local Education Agencies (LEAs) and Non-Profits who serve children in the TREC region, there are also licensed child care providers who offer varying levels of services to children and families. The services range from child care to actually conducting preschool lessons.  The following is a list</w:t>
      </w:r>
      <w:r w:rsidR="00431997" w:rsidRPr="004854A4">
        <w:t xml:space="preserve"> of other programs within the Badlands Head Start: Prenatal to Five service area that also provide services to Early H</w:t>
      </w:r>
      <w:r w:rsidR="00C936CE">
        <w:t>ead Start &amp; Head Start children</w:t>
      </w:r>
    </w:p>
    <w:tbl>
      <w:tblPr>
        <w:tblStyle w:val="LightList-Accent1"/>
        <w:tblW w:w="0" w:type="auto"/>
        <w:tblLook w:val="04A0" w:firstRow="1" w:lastRow="0" w:firstColumn="1" w:lastColumn="0" w:noHBand="0" w:noVBand="1"/>
      </w:tblPr>
      <w:tblGrid>
        <w:gridCol w:w="2394"/>
        <w:gridCol w:w="1854"/>
        <w:gridCol w:w="1980"/>
        <w:gridCol w:w="3348"/>
      </w:tblGrid>
      <w:tr w:rsidR="002A2544" w:rsidTr="00611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A2544" w:rsidRDefault="002A2544" w:rsidP="00431997">
            <w:pPr>
              <w:jc w:val="both"/>
            </w:pPr>
            <w:r>
              <w:t>Entity Name</w:t>
            </w:r>
          </w:p>
        </w:tc>
        <w:tc>
          <w:tcPr>
            <w:tcW w:w="1854" w:type="dxa"/>
          </w:tcPr>
          <w:p w:rsidR="002A2544" w:rsidRDefault="002A2544" w:rsidP="00431997">
            <w:pPr>
              <w:jc w:val="both"/>
              <w:cnfStyle w:val="100000000000" w:firstRow="1" w:lastRow="0" w:firstColumn="0" w:lastColumn="0" w:oddVBand="0" w:evenVBand="0" w:oddHBand="0" w:evenHBand="0" w:firstRowFirstColumn="0" w:firstRowLastColumn="0" w:lastRowFirstColumn="0" w:lastRowLastColumn="0"/>
            </w:pPr>
            <w:r>
              <w:t>City</w:t>
            </w:r>
            <w:r w:rsidR="0049225C">
              <w:t>/County</w:t>
            </w:r>
          </w:p>
        </w:tc>
        <w:tc>
          <w:tcPr>
            <w:tcW w:w="1980" w:type="dxa"/>
          </w:tcPr>
          <w:p w:rsidR="002A2544" w:rsidRDefault="002A2544" w:rsidP="00431997">
            <w:pPr>
              <w:jc w:val="both"/>
              <w:cnfStyle w:val="100000000000" w:firstRow="1" w:lastRow="0" w:firstColumn="0" w:lastColumn="0" w:oddVBand="0" w:evenVBand="0" w:oddHBand="0" w:evenHBand="0" w:firstRowFirstColumn="0" w:firstRowLastColumn="0" w:lastRowFirstColumn="0" w:lastRowLastColumn="0"/>
            </w:pPr>
            <w:r>
              <w:t>Number of Children</w:t>
            </w:r>
          </w:p>
        </w:tc>
        <w:tc>
          <w:tcPr>
            <w:tcW w:w="3348" w:type="dxa"/>
          </w:tcPr>
          <w:p w:rsidR="002A2544" w:rsidRDefault="002A2544" w:rsidP="00431997">
            <w:pPr>
              <w:jc w:val="both"/>
              <w:cnfStyle w:val="100000000000" w:firstRow="1" w:lastRow="0" w:firstColumn="0" w:lastColumn="0" w:oddVBand="0" w:evenVBand="0" w:oddHBand="0" w:evenHBand="0" w:firstRowFirstColumn="0" w:firstRowLastColumn="0" w:lastRowFirstColumn="0" w:lastRowLastColumn="0"/>
            </w:pPr>
            <w:r>
              <w:t>Services Provided</w:t>
            </w:r>
          </w:p>
        </w:tc>
      </w:tr>
      <w:tr w:rsidR="002A2544" w:rsidTr="00611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A2544" w:rsidRDefault="002A2544" w:rsidP="0061198A">
            <w:r w:rsidRPr="002A2544">
              <w:t>Bennett County Schools District Preschool</w:t>
            </w:r>
          </w:p>
        </w:tc>
        <w:tc>
          <w:tcPr>
            <w:tcW w:w="1854" w:type="dxa"/>
          </w:tcPr>
          <w:p w:rsidR="002A2544" w:rsidRDefault="002A2544" w:rsidP="0061198A">
            <w:pPr>
              <w:cnfStyle w:val="000000100000" w:firstRow="0" w:lastRow="0" w:firstColumn="0" w:lastColumn="0" w:oddVBand="0" w:evenVBand="0" w:oddHBand="1" w:evenHBand="0" w:firstRowFirstColumn="0" w:firstRowLastColumn="0" w:lastRowFirstColumn="0" w:lastRowLastColumn="0"/>
            </w:pPr>
            <w:r>
              <w:t>Martin</w:t>
            </w:r>
          </w:p>
        </w:tc>
        <w:tc>
          <w:tcPr>
            <w:tcW w:w="1980" w:type="dxa"/>
          </w:tcPr>
          <w:p w:rsidR="002A2544" w:rsidRDefault="002A2544" w:rsidP="0061198A">
            <w:pPr>
              <w:cnfStyle w:val="000000100000" w:firstRow="0" w:lastRow="0" w:firstColumn="0" w:lastColumn="0" w:oddVBand="0" w:evenVBand="0" w:oddHBand="1" w:evenHBand="0" w:firstRowFirstColumn="0" w:firstRowLastColumn="0" w:lastRowFirstColumn="0" w:lastRowLastColumn="0"/>
            </w:pPr>
            <w:r>
              <w:t>20</w:t>
            </w:r>
          </w:p>
        </w:tc>
        <w:tc>
          <w:tcPr>
            <w:tcW w:w="3348" w:type="dxa"/>
          </w:tcPr>
          <w:p w:rsidR="002A2544" w:rsidRDefault="002A2544" w:rsidP="0061198A">
            <w:pPr>
              <w:cnfStyle w:val="000000100000" w:firstRow="0" w:lastRow="0" w:firstColumn="0" w:lastColumn="0" w:oddVBand="0" w:evenVBand="0" w:oddHBand="1" w:evenHBand="0" w:firstRowFirstColumn="0" w:firstRowLastColumn="0" w:lastRowFirstColumn="0" w:lastRowLastColumn="0"/>
            </w:pPr>
            <w:r>
              <w:t>Center-based preschool serving 4 year olds</w:t>
            </w:r>
          </w:p>
        </w:tc>
      </w:tr>
      <w:tr w:rsidR="002A2544" w:rsidTr="0061198A">
        <w:tc>
          <w:tcPr>
            <w:cnfStyle w:val="001000000000" w:firstRow="0" w:lastRow="0" w:firstColumn="1" w:lastColumn="0" w:oddVBand="0" w:evenVBand="0" w:oddHBand="0" w:evenHBand="0" w:firstRowFirstColumn="0" w:firstRowLastColumn="0" w:lastRowFirstColumn="0" w:lastRowLastColumn="0"/>
            <w:tcW w:w="2394" w:type="dxa"/>
          </w:tcPr>
          <w:p w:rsidR="002A2544" w:rsidRDefault="002A2544" w:rsidP="0061198A">
            <w:r w:rsidRPr="002A2544">
              <w:t>Bennett &amp; Jackson County Public Schools Birth to Three Programs</w:t>
            </w:r>
          </w:p>
        </w:tc>
        <w:tc>
          <w:tcPr>
            <w:tcW w:w="1854" w:type="dxa"/>
          </w:tcPr>
          <w:p w:rsidR="002A2544" w:rsidRDefault="002A2544" w:rsidP="0061198A">
            <w:pPr>
              <w:cnfStyle w:val="000000000000" w:firstRow="0" w:lastRow="0" w:firstColumn="0" w:lastColumn="0" w:oddVBand="0" w:evenVBand="0" w:oddHBand="0" w:evenHBand="0" w:firstRowFirstColumn="0" w:firstRowLastColumn="0" w:lastRowFirstColumn="0" w:lastRowLastColumn="0"/>
            </w:pPr>
            <w:r>
              <w:t>N/A</w:t>
            </w:r>
          </w:p>
        </w:tc>
        <w:tc>
          <w:tcPr>
            <w:tcW w:w="1980" w:type="dxa"/>
          </w:tcPr>
          <w:p w:rsidR="002A2544" w:rsidRDefault="002A2544" w:rsidP="0061198A">
            <w:pPr>
              <w:cnfStyle w:val="000000000000" w:firstRow="0" w:lastRow="0" w:firstColumn="0" w:lastColumn="0" w:oddVBand="0" w:evenVBand="0" w:oddHBand="0" w:evenHBand="0" w:firstRowFirstColumn="0" w:firstRowLastColumn="0" w:lastRowFirstColumn="0" w:lastRowLastColumn="0"/>
            </w:pPr>
            <w:r>
              <w:t>17</w:t>
            </w:r>
          </w:p>
        </w:tc>
        <w:tc>
          <w:tcPr>
            <w:tcW w:w="3348" w:type="dxa"/>
          </w:tcPr>
          <w:p w:rsidR="002A2544" w:rsidRDefault="002A2544" w:rsidP="0061198A">
            <w:pPr>
              <w:cnfStyle w:val="000000000000" w:firstRow="0" w:lastRow="0" w:firstColumn="0" w:lastColumn="0" w:oddVBand="0" w:evenVBand="0" w:oddHBand="0" w:evenHBand="0" w:firstRowFirstColumn="0" w:firstRowLastColumn="0" w:lastRowFirstColumn="0" w:lastRowLastColumn="0"/>
            </w:pPr>
            <w:r>
              <w:t>Serves Birth to 3 Special Education students and provides home-based services</w:t>
            </w:r>
          </w:p>
        </w:tc>
      </w:tr>
      <w:tr w:rsidR="002A2544" w:rsidTr="00611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A2544" w:rsidRDefault="002A2544" w:rsidP="0061198A">
            <w:r>
              <w:t>Birth to 3 Connections</w:t>
            </w:r>
          </w:p>
        </w:tc>
        <w:tc>
          <w:tcPr>
            <w:tcW w:w="1854" w:type="dxa"/>
          </w:tcPr>
          <w:p w:rsidR="002A2544" w:rsidRDefault="002A2544" w:rsidP="0061198A">
            <w:pPr>
              <w:cnfStyle w:val="000000100000" w:firstRow="0" w:lastRow="0" w:firstColumn="0" w:lastColumn="0" w:oddVBand="0" w:evenVBand="0" w:oddHBand="1" w:evenHBand="0" w:firstRowFirstColumn="0" w:firstRowLastColumn="0" w:lastRowFirstColumn="0" w:lastRowLastColumn="0"/>
            </w:pPr>
            <w:r>
              <w:t>Butte County</w:t>
            </w:r>
          </w:p>
        </w:tc>
        <w:tc>
          <w:tcPr>
            <w:tcW w:w="1980" w:type="dxa"/>
          </w:tcPr>
          <w:p w:rsidR="002A2544" w:rsidRDefault="002A2544" w:rsidP="0061198A">
            <w:pPr>
              <w:cnfStyle w:val="000000100000" w:firstRow="0" w:lastRow="0" w:firstColumn="0" w:lastColumn="0" w:oddVBand="0" w:evenVBand="0" w:oddHBand="1" w:evenHBand="0" w:firstRowFirstColumn="0" w:firstRowLastColumn="0" w:lastRowFirstColumn="0" w:lastRowLastColumn="0"/>
            </w:pPr>
            <w:r>
              <w:t>16</w:t>
            </w:r>
          </w:p>
        </w:tc>
        <w:tc>
          <w:tcPr>
            <w:tcW w:w="3348" w:type="dxa"/>
          </w:tcPr>
          <w:p w:rsidR="002A2544" w:rsidRDefault="002A2544" w:rsidP="0061198A">
            <w:pPr>
              <w:cnfStyle w:val="000000100000" w:firstRow="0" w:lastRow="0" w:firstColumn="0" w:lastColumn="0" w:oddVBand="0" w:evenVBand="0" w:oddHBand="1" w:evenHBand="0" w:firstRowFirstColumn="0" w:firstRowLastColumn="0" w:lastRowFirstColumn="0" w:lastRowLastColumn="0"/>
            </w:pPr>
            <w:r>
              <w:t>Serves Birth to 3 Special Education students and provides home-based services</w:t>
            </w:r>
          </w:p>
        </w:tc>
      </w:tr>
      <w:tr w:rsidR="002A2544" w:rsidTr="0061198A">
        <w:tc>
          <w:tcPr>
            <w:cnfStyle w:val="001000000000" w:firstRow="0" w:lastRow="0" w:firstColumn="1" w:lastColumn="0" w:oddVBand="0" w:evenVBand="0" w:oddHBand="0" w:evenHBand="0" w:firstRowFirstColumn="0" w:firstRowLastColumn="0" w:lastRowFirstColumn="0" w:lastRowLastColumn="0"/>
            <w:tcW w:w="2394" w:type="dxa"/>
          </w:tcPr>
          <w:p w:rsidR="002A2544" w:rsidRDefault="002A2544" w:rsidP="0061198A">
            <w:r w:rsidRPr="002A2544">
              <w:t>Bison and Lemmon Public Schools</w:t>
            </w:r>
          </w:p>
        </w:tc>
        <w:tc>
          <w:tcPr>
            <w:tcW w:w="1854" w:type="dxa"/>
          </w:tcPr>
          <w:p w:rsidR="002A2544" w:rsidRDefault="002A2544" w:rsidP="0061198A">
            <w:pPr>
              <w:cnfStyle w:val="000000000000" w:firstRow="0" w:lastRow="0" w:firstColumn="0" w:lastColumn="0" w:oddVBand="0" w:evenVBand="0" w:oddHBand="0" w:evenHBand="0" w:firstRowFirstColumn="0" w:firstRowLastColumn="0" w:lastRowFirstColumn="0" w:lastRowLastColumn="0"/>
            </w:pPr>
            <w:r>
              <w:t>Bison and Lemmon</w:t>
            </w:r>
          </w:p>
        </w:tc>
        <w:tc>
          <w:tcPr>
            <w:tcW w:w="1980" w:type="dxa"/>
          </w:tcPr>
          <w:p w:rsidR="002A2544" w:rsidRDefault="002A2544" w:rsidP="0061198A">
            <w:pPr>
              <w:cnfStyle w:val="000000000000" w:firstRow="0" w:lastRow="0" w:firstColumn="0" w:lastColumn="0" w:oddVBand="0" w:evenVBand="0" w:oddHBand="0" w:evenHBand="0" w:firstRowFirstColumn="0" w:firstRowLastColumn="0" w:lastRowFirstColumn="0" w:lastRowLastColumn="0"/>
            </w:pPr>
            <w:r>
              <w:t>8</w:t>
            </w:r>
          </w:p>
        </w:tc>
        <w:tc>
          <w:tcPr>
            <w:tcW w:w="3348" w:type="dxa"/>
          </w:tcPr>
          <w:p w:rsidR="002A2544" w:rsidRDefault="002A2544" w:rsidP="0061198A">
            <w:pPr>
              <w:cnfStyle w:val="000000000000" w:firstRow="0" w:lastRow="0" w:firstColumn="0" w:lastColumn="0" w:oddVBand="0" w:evenVBand="0" w:oddHBand="0" w:evenHBand="0" w:firstRowFirstColumn="0" w:firstRowLastColumn="0" w:lastRowFirstColumn="0" w:lastRowLastColumn="0"/>
            </w:pPr>
            <w:r>
              <w:t>Serve children with disabilities/special needs from birth through 5.</w:t>
            </w:r>
          </w:p>
          <w:p w:rsidR="002A2544" w:rsidRDefault="002A2544" w:rsidP="0061198A">
            <w:pPr>
              <w:cnfStyle w:val="000000000000" w:firstRow="0" w:lastRow="0" w:firstColumn="0" w:lastColumn="0" w:oddVBand="0" w:evenVBand="0" w:oddHBand="0" w:evenHBand="0" w:firstRowFirstColumn="0" w:firstRowLastColumn="0" w:lastRowFirstColumn="0" w:lastRowLastColumn="0"/>
            </w:pPr>
            <w:r>
              <w:t>Provides disability/special needs services in the home</w:t>
            </w:r>
          </w:p>
        </w:tc>
      </w:tr>
      <w:tr w:rsidR="002A2544" w:rsidTr="00611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2A2544" w:rsidRDefault="00C96CC6" w:rsidP="0061198A">
            <w:r w:rsidRPr="00C96CC6">
              <w:t>Kadoka School District Special Education Program</w:t>
            </w:r>
          </w:p>
        </w:tc>
        <w:tc>
          <w:tcPr>
            <w:tcW w:w="1854" w:type="dxa"/>
          </w:tcPr>
          <w:p w:rsidR="002A2544" w:rsidRDefault="00C96CC6" w:rsidP="0061198A">
            <w:pPr>
              <w:cnfStyle w:val="000000100000" w:firstRow="0" w:lastRow="0" w:firstColumn="0" w:lastColumn="0" w:oddVBand="0" w:evenVBand="0" w:oddHBand="1" w:evenHBand="0" w:firstRowFirstColumn="0" w:firstRowLastColumn="0" w:lastRowFirstColumn="0" w:lastRowLastColumn="0"/>
            </w:pPr>
            <w:r>
              <w:t>Kadoka and Potato Creek</w:t>
            </w:r>
          </w:p>
        </w:tc>
        <w:tc>
          <w:tcPr>
            <w:tcW w:w="1980" w:type="dxa"/>
          </w:tcPr>
          <w:p w:rsidR="002A2544" w:rsidRDefault="00C96CC6" w:rsidP="0061198A">
            <w:pPr>
              <w:cnfStyle w:val="000000100000" w:firstRow="0" w:lastRow="0" w:firstColumn="0" w:lastColumn="0" w:oddVBand="0" w:evenVBand="0" w:oddHBand="1" w:evenHBand="0" w:firstRowFirstColumn="0" w:firstRowLastColumn="0" w:lastRowFirstColumn="0" w:lastRowLastColumn="0"/>
            </w:pPr>
            <w:r>
              <w:t>56</w:t>
            </w:r>
          </w:p>
        </w:tc>
        <w:tc>
          <w:tcPr>
            <w:tcW w:w="3348" w:type="dxa"/>
          </w:tcPr>
          <w:p w:rsidR="00C96CC6" w:rsidRDefault="00C96CC6" w:rsidP="0061198A">
            <w:pPr>
              <w:cnfStyle w:val="000000100000" w:firstRow="0" w:lastRow="0" w:firstColumn="0" w:lastColumn="0" w:oddVBand="0" w:evenVBand="0" w:oddHBand="1" w:evenHBand="0" w:firstRowFirstColumn="0" w:firstRowLastColumn="0" w:lastRowFirstColumn="0" w:lastRowLastColumn="0"/>
            </w:pPr>
            <w:r>
              <w:t>Serves children ages 0 – 5 with special education needs.</w:t>
            </w:r>
          </w:p>
          <w:p w:rsidR="002A2544" w:rsidRDefault="00C96CC6" w:rsidP="0061198A">
            <w:pPr>
              <w:cnfStyle w:val="000000100000" w:firstRow="0" w:lastRow="0" w:firstColumn="0" w:lastColumn="0" w:oddVBand="0" w:evenVBand="0" w:oddHBand="1" w:evenHBand="0" w:firstRowFirstColumn="0" w:firstRowLastColumn="0" w:lastRowFirstColumn="0" w:lastRowLastColumn="0"/>
            </w:pPr>
            <w:r>
              <w:t>Their home based services extend to Potato Creek area in Shannon County.</w:t>
            </w:r>
          </w:p>
        </w:tc>
      </w:tr>
      <w:tr w:rsidR="002A2544" w:rsidTr="0061198A">
        <w:trPr>
          <w:trHeight w:val="763"/>
        </w:trPr>
        <w:tc>
          <w:tcPr>
            <w:cnfStyle w:val="001000000000" w:firstRow="0" w:lastRow="0" w:firstColumn="1" w:lastColumn="0" w:oddVBand="0" w:evenVBand="0" w:oddHBand="0" w:evenHBand="0" w:firstRowFirstColumn="0" w:firstRowLastColumn="0" w:lastRowFirstColumn="0" w:lastRowLastColumn="0"/>
            <w:tcW w:w="2394" w:type="dxa"/>
          </w:tcPr>
          <w:p w:rsidR="002A2544" w:rsidRDefault="00C96CC6" w:rsidP="0061198A">
            <w:r w:rsidRPr="00C96CC6">
              <w:t>Little Wound School FACE Program</w:t>
            </w:r>
          </w:p>
        </w:tc>
        <w:tc>
          <w:tcPr>
            <w:tcW w:w="1854" w:type="dxa"/>
          </w:tcPr>
          <w:p w:rsidR="002A2544" w:rsidRDefault="00C96CC6" w:rsidP="0061198A">
            <w:pPr>
              <w:cnfStyle w:val="000000000000" w:firstRow="0" w:lastRow="0" w:firstColumn="0" w:lastColumn="0" w:oddVBand="0" w:evenVBand="0" w:oddHBand="0" w:evenHBand="0" w:firstRowFirstColumn="0" w:firstRowLastColumn="0" w:lastRowFirstColumn="0" w:lastRowLastColumn="0"/>
            </w:pPr>
            <w:r>
              <w:t>Shannon County</w:t>
            </w:r>
          </w:p>
        </w:tc>
        <w:tc>
          <w:tcPr>
            <w:tcW w:w="1980" w:type="dxa"/>
          </w:tcPr>
          <w:p w:rsidR="002A2544" w:rsidRDefault="00C96CC6" w:rsidP="0061198A">
            <w:pPr>
              <w:cnfStyle w:val="000000000000" w:firstRow="0" w:lastRow="0" w:firstColumn="0" w:lastColumn="0" w:oddVBand="0" w:evenVBand="0" w:oddHBand="0" w:evenHBand="0" w:firstRowFirstColumn="0" w:firstRowLastColumn="0" w:lastRowFirstColumn="0" w:lastRowLastColumn="0"/>
            </w:pPr>
            <w:r>
              <w:t>65</w:t>
            </w:r>
          </w:p>
        </w:tc>
        <w:tc>
          <w:tcPr>
            <w:tcW w:w="3348" w:type="dxa"/>
          </w:tcPr>
          <w:p w:rsidR="002A2544" w:rsidRDefault="00C96CC6" w:rsidP="0061198A">
            <w:pPr>
              <w:cnfStyle w:val="000000000000" w:firstRow="0" w:lastRow="0" w:firstColumn="0" w:lastColumn="0" w:oddVBand="0" w:evenVBand="0" w:oddHBand="0" w:evenHBand="0" w:firstRowFirstColumn="0" w:firstRowLastColumn="0" w:lastRowFirstColumn="0" w:lastRowLastColumn="0"/>
            </w:pPr>
            <w:r>
              <w:t xml:space="preserve">Family literacy program working </w:t>
            </w:r>
            <w:r w:rsidRPr="00C96CC6">
              <w:t>through preschools and home visits.</w:t>
            </w:r>
          </w:p>
        </w:tc>
      </w:tr>
      <w:tr w:rsidR="00C96CC6" w:rsidTr="0061198A">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2394" w:type="dxa"/>
          </w:tcPr>
          <w:p w:rsidR="00C96CC6" w:rsidRPr="00C96CC6" w:rsidRDefault="00C96CC6" w:rsidP="0061198A">
            <w:r>
              <w:lastRenderedPageBreak/>
              <w:t>Newell School District Preschool</w:t>
            </w:r>
          </w:p>
        </w:tc>
        <w:tc>
          <w:tcPr>
            <w:tcW w:w="1854" w:type="dxa"/>
          </w:tcPr>
          <w:p w:rsidR="00C96CC6" w:rsidRDefault="00C96CC6" w:rsidP="0061198A">
            <w:pPr>
              <w:cnfStyle w:val="000000100000" w:firstRow="0" w:lastRow="0" w:firstColumn="0" w:lastColumn="0" w:oddVBand="0" w:evenVBand="0" w:oddHBand="1" w:evenHBand="0" w:firstRowFirstColumn="0" w:firstRowLastColumn="0" w:lastRowFirstColumn="0" w:lastRowLastColumn="0"/>
            </w:pPr>
            <w:r>
              <w:t>Butte County</w:t>
            </w:r>
          </w:p>
        </w:tc>
        <w:tc>
          <w:tcPr>
            <w:tcW w:w="1980" w:type="dxa"/>
          </w:tcPr>
          <w:p w:rsidR="00C96CC6" w:rsidRDefault="00C96CC6" w:rsidP="0061198A">
            <w:pPr>
              <w:cnfStyle w:val="000000100000" w:firstRow="0" w:lastRow="0" w:firstColumn="0" w:lastColumn="0" w:oddVBand="0" w:evenVBand="0" w:oddHBand="1" w:evenHBand="0" w:firstRowFirstColumn="0" w:firstRowLastColumn="0" w:lastRowFirstColumn="0" w:lastRowLastColumn="0"/>
            </w:pPr>
            <w:r>
              <w:t>22</w:t>
            </w:r>
          </w:p>
        </w:tc>
        <w:tc>
          <w:tcPr>
            <w:tcW w:w="3348" w:type="dxa"/>
          </w:tcPr>
          <w:p w:rsidR="00C96CC6" w:rsidRDefault="00C96CC6" w:rsidP="0061198A">
            <w:pPr>
              <w:cnfStyle w:val="000000100000" w:firstRow="0" w:lastRow="0" w:firstColumn="0" w:lastColumn="0" w:oddVBand="0" w:evenVBand="0" w:oddHBand="1" w:evenHBand="0" w:firstRowFirstColumn="0" w:firstRowLastColumn="0" w:lastRowFirstColumn="0" w:lastRowLastColumn="0"/>
            </w:pPr>
            <w:r w:rsidRPr="00C96CC6">
              <w:t>Center based services to 4 year olds with disabilities/special needs.</w:t>
            </w:r>
          </w:p>
        </w:tc>
      </w:tr>
      <w:tr w:rsidR="00C96CC6" w:rsidTr="0061198A">
        <w:trPr>
          <w:trHeight w:val="1025"/>
        </w:trPr>
        <w:tc>
          <w:tcPr>
            <w:cnfStyle w:val="001000000000" w:firstRow="0" w:lastRow="0" w:firstColumn="1" w:lastColumn="0" w:oddVBand="0" w:evenVBand="0" w:oddHBand="0" w:evenHBand="0" w:firstRowFirstColumn="0" w:firstRowLastColumn="0" w:lastRowFirstColumn="0" w:lastRowLastColumn="0"/>
            <w:tcW w:w="2394" w:type="dxa"/>
          </w:tcPr>
          <w:p w:rsidR="00C96CC6" w:rsidRDefault="00C936CE" w:rsidP="0061198A">
            <w:r>
              <w:t>NW Area Birth to 3 Connections</w:t>
            </w:r>
          </w:p>
        </w:tc>
        <w:tc>
          <w:tcPr>
            <w:tcW w:w="1854" w:type="dxa"/>
          </w:tcPr>
          <w:p w:rsidR="00C96CC6" w:rsidRDefault="00C936CE" w:rsidP="0061198A">
            <w:pPr>
              <w:cnfStyle w:val="000000000000" w:firstRow="0" w:lastRow="0" w:firstColumn="0" w:lastColumn="0" w:oddVBand="0" w:evenVBand="0" w:oddHBand="0" w:evenHBand="0" w:firstRowFirstColumn="0" w:firstRowLastColumn="0" w:lastRowFirstColumn="0" w:lastRowLastColumn="0"/>
            </w:pPr>
            <w:proofErr w:type="spellStart"/>
            <w:r>
              <w:t>Conson</w:t>
            </w:r>
            <w:proofErr w:type="spellEnd"/>
            <w:r>
              <w:t>/Perkins County</w:t>
            </w:r>
          </w:p>
        </w:tc>
        <w:tc>
          <w:tcPr>
            <w:tcW w:w="1980" w:type="dxa"/>
          </w:tcPr>
          <w:p w:rsidR="00C96CC6" w:rsidRDefault="00C936CE" w:rsidP="0061198A">
            <w:pPr>
              <w:cnfStyle w:val="000000000000" w:firstRow="0" w:lastRow="0" w:firstColumn="0" w:lastColumn="0" w:oddVBand="0" w:evenVBand="0" w:oddHBand="0" w:evenHBand="0" w:firstRowFirstColumn="0" w:firstRowLastColumn="0" w:lastRowFirstColumn="0" w:lastRowLastColumn="0"/>
            </w:pPr>
            <w:r>
              <w:t>2</w:t>
            </w:r>
          </w:p>
        </w:tc>
        <w:tc>
          <w:tcPr>
            <w:tcW w:w="3348" w:type="dxa"/>
          </w:tcPr>
          <w:p w:rsidR="00C936CE" w:rsidRDefault="00C936CE" w:rsidP="0061198A">
            <w:pPr>
              <w:cnfStyle w:val="000000000000" w:firstRow="0" w:lastRow="0" w:firstColumn="0" w:lastColumn="0" w:oddVBand="0" w:evenVBand="0" w:oddHBand="0" w:evenHBand="0" w:firstRowFirstColumn="0" w:firstRowLastColumn="0" w:lastRowFirstColumn="0" w:lastRowLastColumn="0"/>
            </w:pPr>
            <w:r>
              <w:t>Serves children with disabilities/special needs birth through 3.</w:t>
            </w:r>
          </w:p>
          <w:p w:rsidR="00C96CC6" w:rsidRDefault="00C936CE" w:rsidP="0061198A">
            <w:pPr>
              <w:cnfStyle w:val="000000000000" w:firstRow="0" w:lastRow="0" w:firstColumn="0" w:lastColumn="0" w:oddVBand="0" w:evenVBand="0" w:oddHBand="0" w:evenHBand="0" w:firstRowFirstColumn="0" w:firstRowLastColumn="0" w:lastRowFirstColumn="0" w:lastRowLastColumn="0"/>
            </w:pPr>
            <w:r>
              <w:t>Provides disability/special needs services in the home.</w:t>
            </w:r>
          </w:p>
        </w:tc>
      </w:tr>
      <w:tr w:rsidR="00C936CE" w:rsidTr="0061198A">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2394" w:type="dxa"/>
          </w:tcPr>
          <w:p w:rsidR="00C936CE" w:rsidRDefault="00C936CE" w:rsidP="0061198A">
            <w:r w:rsidRPr="00C936CE">
              <w:t>Oglala Lakota College Head Start</w:t>
            </w:r>
          </w:p>
        </w:tc>
        <w:tc>
          <w:tcPr>
            <w:tcW w:w="1854" w:type="dxa"/>
          </w:tcPr>
          <w:p w:rsidR="00C936CE" w:rsidRDefault="00C936CE" w:rsidP="0061198A">
            <w:pPr>
              <w:cnfStyle w:val="000000100000" w:firstRow="0" w:lastRow="0" w:firstColumn="0" w:lastColumn="0" w:oddVBand="0" w:evenVBand="0" w:oddHBand="1" w:evenHBand="0" w:firstRowFirstColumn="0" w:firstRowLastColumn="0" w:lastRowFirstColumn="0" w:lastRowLastColumn="0"/>
            </w:pPr>
            <w:r>
              <w:t>Shannon County, Bennett County, Jackson County</w:t>
            </w:r>
          </w:p>
        </w:tc>
        <w:tc>
          <w:tcPr>
            <w:tcW w:w="1980" w:type="dxa"/>
          </w:tcPr>
          <w:p w:rsidR="00C936CE" w:rsidRDefault="00C936CE" w:rsidP="0061198A">
            <w:pPr>
              <w:cnfStyle w:val="000000100000" w:firstRow="0" w:lastRow="0" w:firstColumn="0" w:lastColumn="0" w:oddVBand="0" w:evenVBand="0" w:oddHBand="1" w:evenHBand="0" w:firstRowFirstColumn="0" w:firstRowLastColumn="0" w:lastRowFirstColumn="0" w:lastRowLastColumn="0"/>
            </w:pPr>
            <w:r>
              <w:t>591</w:t>
            </w:r>
          </w:p>
        </w:tc>
        <w:tc>
          <w:tcPr>
            <w:tcW w:w="3348" w:type="dxa"/>
          </w:tcPr>
          <w:p w:rsidR="00C936CE" w:rsidRDefault="00C936CE" w:rsidP="0061198A">
            <w:pPr>
              <w:cnfStyle w:val="000000100000" w:firstRow="0" w:lastRow="0" w:firstColumn="0" w:lastColumn="0" w:oddVBand="0" w:evenVBand="0" w:oddHBand="1" w:evenHBand="0" w:firstRowFirstColumn="0" w:firstRowLastColumn="0" w:lastRowFirstColumn="0" w:lastRowLastColumn="0"/>
            </w:pPr>
            <w:r w:rsidRPr="00C936CE">
              <w:t>Center based (31) Head Start programs serving the Pine Ridge Reservation.</w:t>
            </w:r>
          </w:p>
        </w:tc>
      </w:tr>
      <w:tr w:rsidR="00C936CE" w:rsidTr="0061198A">
        <w:trPr>
          <w:trHeight w:val="772"/>
        </w:trPr>
        <w:tc>
          <w:tcPr>
            <w:cnfStyle w:val="001000000000" w:firstRow="0" w:lastRow="0" w:firstColumn="1" w:lastColumn="0" w:oddVBand="0" w:evenVBand="0" w:oddHBand="0" w:evenHBand="0" w:firstRowFirstColumn="0" w:firstRowLastColumn="0" w:lastRowFirstColumn="0" w:lastRowLastColumn="0"/>
            <w:tcW w:w="2394" w:type="dxa"/>
          </w:tcPr>
          <w:p w:rsidR="00C936CE" w:rsidRPr="00C936CE" w:rsidRDefault="00C936CE" w:rsidP="0061198A">
            <w:r w:rsidRPr="00C936CE">
              <w:t>Oglala Lakota College Early Head Start</w:t>
            </w:r>
          </w:p>
        </w:tc>
        <w:tc>
          <w:tcPr>
            <w:tcW w:w="1854" w:type="dxa"/>
          </w:tcPr>
          <w:p w:rsidR="00C936CE" w:rsidRDefault="00C936CE" w:rsidP="0061198A">
            <w:pPr>
              <w:cnfStyle w:val="000000000000" w:firstRow="0" w:lastRow="0" w:firstColumn="0" w:lastColumn="0" w:oddVBand="0" w:evenVBand="0" w:oddHBand="0" w:evenHBand="0" w:firstRowFirstColumn="0" w:firstRowLastColumn="0" w:lastRowFirstColumn="0" w:lastRowLastColumn="0"/>
            </w:pPr>
            <w:r>
              <w:t>Shannon/Jackson County</w:t>
            </w:r>
          </w:p>
        </w:tc>
        <w:tc>
          <w:tcPr>
            <w:tcW w:w="1980" w:type="dxa"/>
          </w:tcPr>
          <w:p w:rsidR="00C936CE" w:rsidRDefault="00C936CE" w:rsidP="0061198A">
            <w:pPr>
              <w:cnfStyle w:val="000000000000" w:firstRow="0" w:lastRow="0" w:firstColumn="0" w:lastColumn="0" w:oddVBand="0" w:evenVBand="0" w:oddHBand="0" w:evenHBand="0" w:firstRowFirstColumn="0" w:firstRowLastColumn="0" w:lastRowFirstColumn="0" w:lastRowLastColumn="0"/>
            </w:pPr>
            <w:r>
              <w:t>100</w:t>
            </w:r>
          </w:p>
        </w:tc>
        <w:tc>
          <w:tcPr>
            <w:tcW w:w="3348" w:type="dxa"/>
          </w:tcPr>
          <w:p w:rsidR="00C936CE" w:rsidRPr="00C936CE" w:rsidRDefault="00C936CE" w:rsidP="0061198A">
            <w:pPr>
              <w:cnfStyle w:val="000000000000" w:firstRow="0" w:lastRow="0" w:firstColumn="0" w:lastColumn="0" w:oddVBand="0" w:evenVBand="0" w:oddHBand="0" w:evenHBand="0" w:firstRowFirstColumn="0" w:firstRowLastColumn="0" w:lastRowFirstColumn="0" w:lastRowLastColumn="0"/>
            </w:pPr>
            <w:r w:rsidRPr="00C936CE">
              <w:t>OLC-EHS serves Pine Ridge Reservation children birth to 3 in center-based services.</w:t>
            </w:r>
          </w:p>
        </w:tc>
      </w:tr>
      <w:tr w:rsidR="00C936CE" w:rsidTr="0061198A">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394" w:type="dxa"/>
          </w:tcPr>
          <w:p w:rsidR="00C936CE" w:rsidRPr="00C936CE" w:rsidRDefault="003E33A3" w:rsidP="0061198A">
            <w:r w:rsidRPr="003E33A3">
              <w:t>Oglala Sioux Tribe Childcare Program</w:t>
            </w:r>
          </w:p>
        </w:tc>
        <w:tc>
          <w:tcPr>
            <w:tcW w:w="1854" w:type="dxa"/>
          </w:tcPr>
          <w:p w:rsidR="00C936CE" w:rsidRDefault="003E33A3" w:rsidP="0061198A">
            <w:pPr>
              <w:cnfStyle w:val="000000100000" w:firstRow="0" w:lastRow="0" w:firstColumn="0" w:lastColumn="0" w:oddVBand="0" w:evenVBand="0" w:oddHBand="1" w:evenHBand="0" w:firstRowFirstColumn="0" w:firstRowLastColumn="0" w:lastRowFirstColumn="0" w:lastRowLastColumn="0"/>
            </w:pPr>
            <w:r>
              <w:t>Shannon/Jackson County</w:t>
            </w:r>
          </w:p>
        </w:tc>
        <w:tc>
          <w:tcPr>
            <w:tcW w:w="1980" w:type="dxa"/>
          </w:tcPr>
          <w:p w:rsidR="00C936CE" w:rsidRDefault="003E33A3" w:rsidP="0061198A">
            <w:pPr>
              <w:cnfStyle w:val="000000100000" w:firstRow="0" w:lastRow="0" w:firstColumn="0" w:lastColumn="0" w:oddVBand="0" w:evenVBand="0" w:oddHBand="1" w:evenHBand="0" w:firstRowFirstColumn="0" w:firstRowLastColumn="0" w:lastRowFirstColumn="0" w:lastRowLastColumn="0"/>
            </w:pPr>
            <w:r>
              <w:t>180 (maximum)</w:t>
            </w:r>
          </w:p>
        </w:tc>
        <w:tc>
          <w:tcPr>
            <w:tcW w:w="3348" w:type="dxa"/>
          </w:tcPr>
          <w:p w:rsidR="00C936CE" w:rsidRDefault="003E33A3" w:rsidP="0061198A">
            <w:pPr>
              <w:cnfStyle w:val="000000100000" w:firstRow="0" w:lastRow="0" w:firstColumn="0" w:lastColumn="0" w:oddVBand="0" w:evenVBand="0" w:oddHBand="1" w:evenHBand="0" w:firstRowFirstColumn="0" w:firstRowLastColumn="0" w:lastRowFirstColumn="0" w:lastRowLastColumn="0"/>
            </w:pPr>
            <w:r w:rsidRPr="003E33A3">
              <w:t>Serves children ages 0 – 11 in a childcare setting.</w:t>
            </w:r>
          </w:p>
        </w:tc>
      </w:tr>
      <w:tr w:rsidR="003E33A3" w:rsidTr="0061198A">
        <w:trPr>
          <w:trHeight w:val="1042"/>
        </w:trPr>
        <w:tc>
          <w:tcPr>
            <w:cnfStyle w:val="001000000000" w:firstRow="0" w:lastRow="0" w:firstColumn="1" w:lastColumn="0" w:oddVBand="0" w:evenVBand="0" w:oddHBand="0" w:evenHBand="0" w:firstRowFirstColumn="0" w:firstRowLastColumn="0" w:lastRowFirstColumn="0" w:lastRowLastColumn="0"/>
            <w:tcW w:w="2394" w:type="dxa"/>
          </w:tcPr>
          <w:p w:rsidR="003E33A3" w:rsidRPr="003E33A3" w:rsidRDefault="003E33A3" w:rsidP="0061198A">
            <w:r>
              <w:t>Parents as Teachers</w:t>
            </w:r>
          </w:p>
        </w:tc>
        <w:tc>
          <w:tcPr>
            <w:tcW w:w="1854" w:type="dxa"/>
          </w:tcPr>
          <w:p w:rsidR="003E33A3" w:rsidRDefault="003E33A3" w:rsidP="0061198A">
            <w:pPr>
              <w:cnfStyle w:val="000000000000" w:firstRow="0" w:lastRow="0" w:firstColumn="0" w:lastColumn="0" w:oddVBand="0" w:evenVBand="0" w:oddHBand="0" w:evenHBand="0" w:firstRowFirstColumn="0" w:firstRowLastColumn="0" w:lastRowFirstColumn="0" w:lastRowLastColumn="0"/>
            </w:pPr>
            <w:r>
              <w:t>Butte County</w:t>
            </w:r>
          </w:p>
        </w:tc>
        <w:tc>
          <w:tcPr>
            <w:tcW w:w="1980" w:type="dxa"/>
          </w:tcPr>
          <w:p w:rsidR="003E33A3" w:rsidRDefault="003E33A3" w:rsidP="0061198A">
            <w:pPr>
              <w:cnfStyle w:val="000000000000" w:firstRow="0" w:lastRow="0" w:firstColumn="0" w:lastColumn="0" w:oddVBand="0" w:evenVBand="0" w:oddHBand="0" w:evenHBand="0" w:firstRowFirstColumn="0" w:firstRowLastColumn="0" w:lastRowFirstColumn="0" w:lastRowLastColumn="0"/>
            </w:pPr>
            <w:r>
              <w:t>40</w:t>
            </w:r>
          </w:p>
        </w:tc>
        <w:tc>
          <w:tcPr>
            <w:tcW w:w="3348" w:type="dxa"/>
          </w:tcPr>
          <w:p w:rsidR="003E33A3" w:rsidRDefault="003E33A3" w:rsidP="0061198A">
            <w:pPr>
              <w:cnfStyle w:val="000000000000" w:firstRow="0" w:lastRow="0" w:firstColumn="0" w:lastColumn="0" w:oddVBand="0" w:evenVBand="0" w:oddHBand="0" w:evenHBand="0" w:firstRowFirstColumn="0" w:firstRowLastColumn="0" w:lastRowFirstColumn="0" w:lastRowLastColumn="0"/>
            </w:pPr>
            <w:r>
              <w:t>Monthly home visits with parents.</w:t>
            </w:r>
          </w:p>
          <w:p w:rsidR="003E33A3" w:rsidRDefault="003E33A3" w:rsidP="0061198A">
            <w:pPr>
              <w:cnfStyle w:val="000000000000" w:firstRow="0" w:lastRow="0" w:firstColumn="0" w:lastColumn="0" w:oddVBand="0" w:evenVBand="0" w:oddHBand="0" w:evenHBand="0" w:firstRowFirstColumn="0" w:firstRowLastColumn="0" w:lastRowFirstColumn="0" w:lastRowLastColumn="0"/>
            </w:pPr>
            <w:r>
              <w:t>Limited parenting and preschool classes.</w:t>
            </w:r>
          </w:p>
        </w:tc>
      </w:tr>
      <w:tr w:rsidR="0061198A" w:rsidTr="0061198A">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2394" w:type="dxa"/>
          </w:tcPr>
          <w:p w:rsidR="0061198A" w:rsidRDefault="0061198A" w:rsidP="0061198A">
            <w:r w:rsidRPr="0061198A">
              <w:t>Shannon County Schools Birth to Three and Preschool</w:t>
            </w:r>
          </w:p>
        </w:tc>
        <w:tc>
          <w:tcPr>
            <w:tcW w:w="1854" w:type="dxa"/>
          </w:tcPr>
          <w:p w:rsidR="0061198A" w:rsidRDefault="0061198A" w:rsidP="0061198A">
            <w:pPr>
              <w:cnfStyle w:val="000000100000" w:firstRow="0" w:lastRow="0" w:firstColumn="0" w:lastColumn="0" w:oddVBand="0" w:evenVBand="0" w:oddHBand="1" w:evenHBand="0" w:firstRowFirstColumn="0" w:firstRowLastColumn="0" w:lastRowFirstColumn="0" w:lastRowLastColumn="0"/>
            </w:pPr>
            <w:r>
              <w:t>Shannon County</w:t>
            </w:r>
          </w:p>
        </w:tc>
        <w:tc>
          <w:tcPr>
            <w:tcW w:w="1980" w:type="dxa"/>
          </w:tcPr>
          <w:p w:rsidR="0061198A" w:rsidRDefault="0061198A" w:rsidP="0061198A">
            <w:pPr>
              <w:cnfStyle w:val="000000100000" w:firstRow="0" w:lastRow="0" w:firstColumn="0" w:lastColumn="0" w:oddVBand="0" w:evenVBand="0" w:oddHBand="1" w:evenHBand="0" w:firstRowFirstColumn="0" w:firstRowLastColumn="0" w:lastRowFirstColumn="0" w:lastRowLastColumn="0"/>
            </w:pPr>
            <w:r>
              <w:t>95</w:t>
            </w:r>
          </w:p>
        </w:tc>
        <w:tc>
          <w:tcPr>
            <w:tcW w:w="3348" w:type="dxa"/>
          </w:tcPr>
          <w:p w:rsidR="0061198A" w:rsidRDefault="0061198A" w:rsidP="0061198A">
            <w:pPr>
              <w:cnfStyle w:val="000000100000" w:firstRow="0" w:lastRow="0" w:firstColumn="0" w:lastColumn="0" w:oddVBand="0" w:evenVBand="0" w:oddHBand="1" w:evenHBand="0" w:firstRowFirstColumn="0" w:firstRowLastColumn="0" w:lastRowFirstColumn="0" w:lastRowLastColumn="0"/>
            </w:pPr>
            <w:r>
              <w:t>Center based preschool at all of their schools except Red Shirt.</w:t>
            </w:r>
          </w:p>
          <w:p w:rsidR="0061198A" w:rsidRDefault="0061198A" w:rsidP="0061198A">
            <w:pPr>
              <w:cnfStyle w:val="000000100000" w:firstRow="0" w:lastRow="0" w:firstColumn="0" w:lastColumn="0" w:oddVBand="0" w:evenVBand="0" w:oddHBand="1" w:evenHBand="0" w:firstRowFirstColumn="0" w:firstRowLastColumn="0" w:lastRowFirstColumn="0" w:lastRowLastColumn="0"/>
            </w:pPr>
            <w:r>
              <w:t>Also serve birth to three children with disabilities/special needs - home based.</w:t>
            </w:r>
          </w:p>
        </w:tc>
      </w:tr>
      <w:tr w:rsidR="0061198A" w:rsidTr="0061198A">
        <w:trPr>
          <w:trHeight w:val="817"/>
        </w:trPr>
        <w:tc>
          <w:tcPr>
            <w:cnfStyle w:val="001000000000" w:firstRow="0" w:lastRow="0" w:firstColumn="1" w:lastColumn="0" w:oddVBand="0" w:evenVBand="0" w:oddHBand="0" w:evenHBand="0" w:firstRowFirstColumn="0" w:firstRowLastColumn="0" w:lastRowFirstColumn="0" w:lastRowLastColumn="0"/>
            <w:tcW w:w="2394" w:type="dxa"/>
          </w:tcPr>
          <w:p w:rsidR="0061198A" w:rsidRPr="0061198A" w:rsidRDefault="0061198A" w:rsidP="0061198A">
            <w:r w:rsidRPr="0061198A">
              <w:t>Standing Rock Sioux Tribe</w:t>
            </w:r>
          </w:p>
        </w:tc>
        <w:tc>
          <w:tcPr>
            <w:tcW w:w="1854" w:type="dxa"/>
          </w:tcPr>
          <w:p w:rsidR="0061198A" w:rsidRDefault="0061198A" w:rsidP="0061198A">
            <w:pPr>
              <w:cnfStyle w:val="000000000000" w:firstRow="0" w:lastRow="0" w:firstColumn="0" w:lastColumn="0" w:oddVBand="0" w:evenVBand="0" w:oddHBand="0" w:evenHBand="0" w:firstRowFirstColumn="0" w:firstRowLastColumn="0" w:lastRowFirstColumn="0" w:lastRowLastColumn="0"/>
            </w:pPr>
            <w:r>
              <w:t>Corson County</w:t>
            </w:r>
          </w:p>
        </w:tc>
        <w:tc>
          <w:tcPr>
            <w:tcW w:w="1980" w:type="dxa"/>
          </w:tcPr>
          <w:p w:rsidR="0061198A" w:rsidRDefault="0061198A" w:rsidP="0061198A">
            <w:pPr>
              <w:cnfStyle w:val="000000000000" w:firstRow="0" w:lastRow="0" w:firstColumn="0" w:lastColumn="0" w:oddVBand="0" w:evenVBand="0" w:oddHBand="0" w:evenHBand="0" w:firstRowFirstColumn="0" w:firstRowLastColumn="0" w:lastRowFirstColumn="0" w:lastRowLastColumn="0"/>
            </w:pPr>
            <w:r>
              <w:t>332</w:t>
            </w:r>
          </w:p>
        </w:tc>
        <w:tc>
          <w:tcPr>
            <w:tcW w:w="3348" w:type="dxa"/>
          </w:tcPr>
          <w:p w:rsidR="0061198A" w:rsidRDefault="0061198A" w:rsidP="0061198A">
            <w:pPr>
              <w:pStyle w:val="ListParagraph"/>
              <w:ind w:left="72"/>
              <w:cnfStyle w:val="000000000000" w:firstRow="0" w:lastRow="0" w:firstColumn="0" w:lastColumn="0" w:oddVBand="0" w:evenVBand="0" w:oddHBand="0" w:evenHBand="0" w:firstRowFirstColumn="0" w:firstRowLastColumn="0" w:lastRowFirstColumn="0" w:lastRowLastColumn="0"/>
            </w:pPr>
            <w:r w:rsidRPr="0061198A">
              <w:t>Home and center based Early Head Start and Head Start programs.</w:t>
            </w:r>
          </w:p>
        </w:tc>
      </w:tr>
    </w:tbl>
    <w:p w:rsidR="00431997" w:rsidRPr="00B46A41" w:rsidRDefault="00B46A41" w:rsidP="00B46A41">
      <w:pPr>
        <w:spacing w:line="480" w:lineRule="auto"/>
        <w:jc w:val="center"/>
        <w:rPr>
          <w:b/>
        </w:rPr>
      </w:pPr>
      <w:r>
        <w:rPr>
          <w:b/>
        </w:rPr>
        <w:t>Figure 2.1</w:t>
      </w:r>
    </w:p>
    <w:p w:rsidR="00431997" w:rsidRPr="004854A4" w:rsidRDefault="00431997" w:rsidP="00431997"/>
    <w:p w:rsidR="00431997" w:rsidRPr="007F4B83" w:rsidRDefault="00431997" w:rsidP="00431997">
      <w:pPr>
        <w:pStyle w:val="Heading2"/>
      </w:pPr>
      <w:bookmarkStart w:id="11" w:name="_Toc416269434"/>
      <w:r w:rsidRPr="009E3000">
        <w:t>Licensed Childcare Centers by County and Number Children Under Age 5 by County</w:t>
      </w:r>
      <w:bookmarkEnd w:id="11"/>
    </w:p>
    <w:p w:rsidR="00BE056F" w:rsidRDefault="00B46A41" w:rsidP="00FE735D">
      <w:pPr>
        <w:spacing w:line="480" w:lineRule="auto"/>
      </w:pPr>
      <w:r>
        <w:t>Child</w:t>
      </w:r>
      <w:r w:rsidR="00E4338C">
        <w:t xml:space="preserve"> care centers play an important role in developing social traits and skills among children. TREC’s service area seems to have an adequate number of registered and licensed child care facilities for family use</w:t>
      </w:r>
      <w:r w:rsidR="00167D5D">
        <w:t xml:space="preserve"> in most areas</w:t>
      </w:r>
      <w:r w:rsidR="00E4338C">
        <w:t>.</w:t>
      </w:r>
      <w:r w:rsidR="00167D5D">
        <w:t xml:space="preserve"> However, in communities such as Bison (Perkins County), there is a severe shortage of high quality and affordable child care.</w:t>
      </w:r>
      <w:r w:rsidR="00E4338C">
        <w:t xml:space="preserve"> </w:t>
      </w:r>
      <w:r w:rsidR="00167D5D">
        <w:t>In communities where child care is not a problem,</w:t>
      </w:r>
      <w:r w:rsidR="00E4338C">
        <w:t xml:space="preserve"> the quality and affordability of these entities is subject to some investigation. </w:t>
      </w:r>
    </w:p>
    <w:p w:rsidR="00BE056F" w:rsidRDefault="00E4338C" w:rsidP="00167D5D">
      <w:pPr>
        <w:spacing w:line="480" w:lineRule="auto"/>
        <w:ind w:firstLine="720"/>
      </w:pPr>
      <w:r>
        <w:lastRenderedPageBreak/>
        <w:t>At this time, South Dakota does not offer public funding for our pre-kindergarten preschool centers. Therefore, no uniform standards have been put in place to assess the quality of programming in</w:t>
      </w:r>
      <w:r w:rsidR="00187AC8">
        <w:t xml:space="preserve"> these facilities.</w:t>
      </w:r>
      <w:r w:rsidR="00BE056F">
        <w:t xml:space="preserve"> The South Dakota Early Learning Guidelines are a good start, but are not substitute fo</w:t>
      </w:r>
      <w:r w:rsidR="00163335">
        <w:t xml:space="preserve">r formalized, well researched, </w:t>
      </w:r>
      <w:r w:rsidR="00BE056F">
        <w:t xml:space="preserve">and pressure-tested content and developmental standards. </w:t>
      </w:r>
    </w:p>
    <w:p w:rsidR="00FE735D" w:rsidRPr="004854A4" w:rsidRDefault="00187AC8" w:rsidP="00167D5D">
      <w:pPr>
        <w:spacing w:line="480" w:lineRule="auto"/>
        <w:ind w:firstLine="720"/>
      </w:pPr>
      <w:r>
        <w:t>In addition, the financial implications on families receiving child care is something we need to examine and consider. There is no uniform rate for child care in South Dakota. Therefore, families are at the mercy of the provider when it comes to a payment schedule. There are programs available to help families pay for child care, but the rate of reimbursement may not lend itself to enroll a child in a quality program. Families should not be forced to choose between quality and affordability.</w:t>
      </w:r>
    </w:p>
    <w:tbl>
      <w:tblPr>
        <w:tblStyle w:val="LightList-Accent1"/>
        <w:tblW w:w="0" w:type="auto"/>
        <w:tblLook w:val="04A0" w:firstRow="1" w:lastRow="0" w:firstColumn="1" w:lastColumn="0" w:noHBand="0" w:noVBand="1"/>
      </w:tblPr>
      <w:tblGrid>
        <w:gridCol w:w="1115"/>
        <w:gridCol w:w="1763"/>
        <w:gridCol w:w="1802"/>
        <w:gridCol w:w="1307"/>
        <w:gridCol w:w="1105"/>
        <w:gridCol w:w="1286"/>
        <w:gridCol w:w="1198"/>
      </w:tblGrid>
      <w:tr w:rsidR="00431997" w:rsidTr="00431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431997" w:rsidRPr="000A23EE" w:rsidRDefault="00431997" w:rsidP="002A2544">
            <w:pPr>
              <w:jc w:val="center"/>
              <w:rPr>
                <w:b w:val="0"/>
                <w:sz w:val="18"/>
                <w:szCs w:val="18"/>
              </w:rPr>
            </w:pPr>
            <w:r w:rsidRPr="000A23EE">
              <w:rPr>
                <w:b w:val="0"/>
                <w:sz w:val="18"/>
                <w:szCs w:val="18"/>
              </w:rPr>
              <w:t>County</w:t>
            </w:r>
          </w:p>
        </w:tc>
        <w:tc>
          <w:tcPr>
            <w:tcW w:w="1763" w:type="dxa"/>
          </w:tcPr>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Licensed</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Group Family</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 xml:space="preserve">Child Care Homes </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(Max = 20)</w:t>
            </w:r>
          </w:p>
        </w:tc>
        <w:tc>
          <w:tcPr>
            <w:tcW w:w="1802" w:type="dxa"/>
          </w:tcPr>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Registered</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Family</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Child Care Homes</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(Max. = 12)</w:t>
            </w:r>
          </w:p>
        </w:tc>
        <w:tc>
          <w:tcPr>
            <w:tcW w:w="1307" w:type="dxa"/>
          </w:tcPr>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Licensed</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Child Care Centers</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(Max. = 21+)</w:t>
            </w:r>
          </w:p>
        </w:tc>
        <w:tc>
          <w:tcPr>
            <w:tcW w:w="1105" w:type="dxa"/>
          </w:tcPr>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Maximum Number</w:t>
            </w:r>
          </w:p>
          <w:p w:rsidR="00431997" w:rsidRPr="000A23EE"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0A23EE">
              <w:rPr>
                <w:b w:val="0"/>
                <w:sz w:val="18"/>
                <w:szCs w:val="18"/>
              </w:rPr>
              <w:t>Children Served</w:t>
            </w:r>
          </w:p>
        </w:tc>
        <w:tc>
          <w:tcPr>
            <w:tcW w:w="1286" w:type="dxa"/>
          </w:tcPr>
          <w:p w:rsidR="00431997" w:rsidRPr="00E74CDD"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4CDD">
              <w:rPr>
                <w:b w:val="0"/>
                <w:sz w:val="18"/>
                <w:szCs w:val="18"/>
              </w:rPr>
              <w:t>Number</w:t>
            </w:r>
          </w:p>
          <w:p w:rsidR="00431997" w:rsidRPr="00E74CDD"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4CDD">
              <w:rPr>
                <w:b w:val="0"/>
                <w:sz w:val="18"/>
                <w:szCs w:val="18"/>
              </w:rPr>
              <w:t>Children</w:t>
            </w:r>
          </w:p>
          <w:p w:rsidR="00431997" w:rsidRPr="00E74CDD"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4CDD">
              <w:rPr>
                <w:b w:val="0"/>
                <w:sz w:val="18"/>
                <w:szCs w:val="18"/>
              </w:rPr>
              <w:t>Under Age 5</w:t>
            </w:r>
          </w:p>
          <w:p w:rsidR="00431997" w:rsidRPr="00E74CDD" w:rsidRDefault="004C6B2D"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(2013</w:t>
            </w:r>
            <w:r w:rsidR="00431997" w:rsidRPr="00E74CDD">
              <w:rPr>
                <w:b w:val="0"/>
                <w:sz w:val="18"/>
                <w:szCs w:val="18"/>
              </w:rPr>
              <w:t>)</w:t>
            </w:r>
          </w:p>
        </w:tc>
        <w:tc>
          <w:tcPr>
            <w:tcW w:w="1198" w:type="dxa"/>
          </w:tcPr>
          <w:p w:rsidR="00431997" w:rsidRPr="00E74CDD"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4CDD">
              <w:rPr>
                <w:b w:val="0"/>
                <w:sz w:val="18"/>
                <w:szCs w:val="18"/>
              </w:rPr>
              <w:t>Number</w:t>
            </w:r>
          </w:p>
          <w:p w:rsidR="00431997" w:rsidRPr="00E74CDD"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4CDD">
              <w:rPr>
                <w:b w:val="0"/>
                <w:sz w:val="18"/>
                <w:szCs w:val="18"/>
              </w:rPr>
              <w:t>Under Age 5</w:t>
            </w:r>
          </w:p>
          <w:p w:rsidR="00431997" w:rsidRPr="00E74CDD" w:rsidRDefault="00431997"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74CDD">
              <w:rPr>
                <w:b w:val="0"/>
                <w:sz w:val="18"/>
                <w:szCs w:val="18"/>
              </w:rPr>
              <w:t>In Poverty</w:t>
            </w:r>
          </w:p>
          <w:p w:rsidR="00431997" w:rsidRPr="00E74CDD" w:rsidRDefault="004C6B2D" w:rsidP="002A2544">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(2013</w:t>
            </w:r>
            <w:r w:rsidR="00431997" w:rsidRPr="00E74CDD">
              <w:rPr>
                <w:b w:val="0"/>
                <w:sz w:val="18"/>
                <w:szCs w:val="18"/>
              </w:rPr>
              <w:t>)</w:t>
            </w:r>
          </w:p>
        </w:tc>
      </w:tr>
      <w:tr w:rsidR="00431997" w:rsidTr="00280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431997" w:rsidRDefault="00431997" w:rsidP="002A2544">
            <w:pPr>
              <w:jc w:val="center"/>
            </w:pPr>
            <w:r>
              <w:t>Corson</w:t>
            </w:r>
          </w:p>
        </w:tc>
        <w:tc>
          <w:tcPr>
            <w:tcW w:w="1763"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0</w:t>
            </w:r>
          </w:p>
        </w:tc>
        <w:tc>
          <w:tcPr>
            <w:tcW w:w="1802"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1</w:t>
            </w:r>
          </w:p>
        </w:tc>
        <w:tc>
          <w:tcPr>
            <w:tcW w:w="1307"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0</w:t>
            </w:r>
          </w:p>
        </w:tc>
        <w:tc>
          <w:tcPr>
            <w:tcW w:w="1105" w:type="dxa"/>
          </w:tcPr>
          <w:p w:rsidR="00431997" w:rsidRPr="00AA6660" w:rsidRDefault="00431997" w:rsidP="002A2544">
            <w:pPr>
              <w:jc w:val="center"/>
              <w:cnfStyle w:val="000000100000" w:firstRow="0" w:lastRow="0" w:firstColumn="0" w:lastColumn="0" w:oddVBand="0" w:evenVBand="0" w:oddHBand="1" w:evenHBand="0" w:firstRowFirstColumn="0" w:firstRowLastColumn="0" w:lastRowFirstColumn="0" w:lastRowLastColumn="0"/>
            </w:pPr>
            <w:r w:rsidRPr="00AA6660">
              <w:t>12</w:t>
            </w:r>
          </w:p>
        </w:tc>
        <w:tc>
          <w:tcPr>
            <w:tcW w:w="1286" w:type="dxa"/>
            <w:shd w:val="clear" w:color="auto" w:fill="auto"/>
          </w:tcPr>
          <w:p w:rsidR="00431997" w:rsidRPr="00280048" w:rsidRDefault="004C6B2D" w:rsidP="002A2544">
            <w:pPr>
              <w:jc w:val="center"/>
              <w:cnfStyle w:val="000000100000" w:firstRow="0" w:lastRow="0" w:firstColumn="0" w:lastColumn="0" w:oddVBand="0" w:evenVBand="0" w:oddHBand="1" w:evenHBand="0" w:firstRowFirstColumn="0" w:firstRowLastColumn="0" w:lastRowFirstColumn="0" w:lastRowLastColumn="0"/>
            </w:pPr>
            <w:r w:rsidRPr="00280048">
              <w:t>366</w:t>
            </w:r>
          </w:p>
        </w:tc>
        <w:tc>
          <w:tcPr>
            <w:tcW w:w="1198" w:type="dxa"/>
            <w:shd w:val="clear" w:color="auto" w:fill="auto"/>
          </w:tcPr>
          <w:p w:rsidR="00431997" w:rsidRPr="00280048" w:rsidRDefault="004C6B2D" w:rsidP="002A2544">
            <w:pPr>
              <w:jc w:val="center"/>
              <w:cnfStyle w:val="000000100000" w:firstRow="0" w:lastRow="0" w:firstColumn="0" w:lastColumn="0" w:oddVBand="0" w:evenVBand="0" w:oddHBand="1" w:evenHBand="0" w:firstRowFirstColumn="0" w:firstRowLastColumn="0" w:lastRowFirstColumn="0" w:lastRowLastColumn="0"/>
            </w:pPr>
            <w:r w:rsidRPr="00280048">
              <w:t>179</w:t>
            </w:r>
          </w:p>
        </w:tc>
      </w:tr>
      <w:tr w:rsidR="00431997" w:rsidTr="00280048">
        <w:tc>
          <w:tcPr>
            <w:cnfStyle w:val="001000000000" w:firstRow="0" w:lastRow="0" w:firstColumn="1" w:lastColumn="0" w:oddVBand="0" w:evenVBand="0" w:oddHBand="0" w:evenHBand="0" w:firstRowFirstColumn="0" w:firstRowLastColumn="0" w:lastRowFirstColumn="0" w:lastRowLastColumn="0"/>
            <w:tcW w:w="1115" w:type="dxa"/>
          </w:tcPr>
          <w:p w:rsidR="00431997" w:rsidRDefault="00431997" w:rsidP="002A2544">
            <w:pPr>
              <w:jc w:val="center"/>
            </w:pPr>
            <w:r>
              <w:t>Perkins</w:t>
            </w:r>
          </w:p>
        </w:tc>
        <w:tc>
          <w:tcPr>
            <w:tcW w:w="1763" w:type="dxa"/>
          </w:tcPr>
          <w:p w:rsidR="00431997" w:rsidRDefault="00431997" w:rsidP="002A2544">
            <w:pPr>
              <w:jc w:val="center"/>
              <w:cnfStyle w:val="000000000000" w:firstRow="0" w:lastRow="0" w:firstColumn="0" w:lastColumn="0" w:oddVBand="0" w:evenVBand="0" w:oddHBand="0" w:evenHBand="0" w:firstRowFirstColumn="0" w:firstRowLastColumn="0" w:lastRowFirstColumn="0" w:lastRowLastColumn="0"/>
            </w:pPr>
            <w:r>
              <w:t>1</w:t>
            </w:r>
          </w:p>
        </w:tc>
        <w:tc>
          <w:tcPr>
            <w:tcW w:w="1802" w:type="dxa"/>
          </w:tcPr>
          <w:p w:rsidR="00431997" w:rsidRDefault="00431997" w:rsidP="002A2544">
            <w:pPr>
              <w:jc w:val="center"/>
              <w:cnfStyle w:val="000000000000" w:firstRow="0" w:lastRow="0" w:firstColumn="0" w:lastColumn="0" w:oddVBand="0" w:evenVBand="0" w:oddHBand="0" w:evenHBand="0" w:firstRowFirstColumn="0" w:firstRowLastColumn="0" w:lastRowFirstColumn="0" w:lastRowLastColumn="0"/>
            </w:pPr>
            <w:r>
              <w:t>1</w:t>
            </w:r>
          </w:p>
        </w:tc>
        <w:tc>
          <w:tcPr>
            <w:tcW w:w="1307" w:type="dxa"/>
          </w:tcPr>
          <w:p w:rsidR="00431997" w:rsidRDefault="00431997" w:rsidP="002A2544">
            <w:pPr>
              <w:jc w:val="center"/>
              <w:cnfStyle w:val="000000000000" w:firstRow="0" w:lastRow="0" w:firstColumn="0" w:lastColumn="0" w:oddVBand="0" w:evenVBand="0" w:oddHBand="0" w:evenHBand="0" w:firstRowFirstColumn="0" w:firstRowLastColumn="0" w:lastRowFirstColumn="0" w:lastRowLastColumn="0"/>
            </w:pPr>
            <w:r>
              <w:t>0</w:t>
            </w:r>
          </w:p>
        </w:tc>
        <w:tc>
          <w:tcPr>
            <w:tcW w:w="1105" w:type="dxa"/>
          </w:tcPr>
          <w:p w:rsidR="00431997" w:rsidRPr="00AA6660" w:rsidRDefault="00431997" w:rsidP="002A2544">
            <w:pPr>
              <w:jc w:val="center"/>
              <w:cnfStyle w:val="000000000000" w:firstRow="0" w:lastRow="0" w:firstColumn="0" w:lastColumn="0" w:oddVBand="0" w:evenVBand="0" w:oddHBand="0" w:evenHBand="0" w:firstRowFirstColumn="0" w:firstRowLastColumn="0" w:lastRowFirstColumn="0" w:lastRowLastColumn="0"/>
            </w:pPr>
            <w:r w:rsidRPr="00AA6660">
              <w:t>32</w:t>
            </w:r>
          </w:p>
        </w:tc>
        <w:tc>
          <w:tcPr>
            <w:tcW w:w="1286" w:type="dxa"/>
            <w:shd w:val="clear" w:color="auto" w:fill="auto"/>
          </w:tcPr>
          <w:p w:rsidR="00431997" w:rsidRPr="00280048" w:rsidRDefault="004C6B2D" w:rsidP="002A2544">
            <w:pPr>
              <w:jc w:val="center"/>
              <w:cnfStyle w:val="000000000000" w:firstRow="0" w:lastRow="0" w:firstColumn="0" w:lastColumn="0" w:oddVBand="0" w:evenVBand="0" w:oddHBand="0" w:evenHBand="0" w:firstRowFirstColumn="0" w:firstRowLastColumn="0" w:lastRowFirstColumn="0" w:lastRowLastColumn="0"/>
            </w:pPr>
            <w:r w:rsidRPr="00280048">
              <w:t>157</w:t>
            </w:r>
          </w:p>
        </w:tc>
        <w:tc>
          <w:tcPr>
            <w:tcW w:w="1198" w:type="dxa"/>
            <w:shd w:val="clear" w:color="auto" w:fill="auto"/>
          </w:tcPr>
          <w:p w:rsidR="00431997" w:rsidRPr="00280048" w:rsidRDefault="004C6B2D" w:rsidP="002A2544">
            <w:pPr>
              <w:jc w:val="center"/>
              <w:cnfStyle w:val="000000000000" w:firstRow="0" w:lastRow="0" w:firstColumn="0" w:lastColumn="0" w:oddVBand="0" w:evenVBand="0" w:oddHBand="0" w:evenHBand="0" w:firstRowFirstColumn="0" w:firstRowLastColumn="0" w:lastRowFirstColumn="0" w:lastRowLastColumn="0"/>
            </w:pPr>
            <w:r w:rsidRPr="00280048">
              <w:t>18</w:t>
            </w:r>
          </w:p>
        </w:tc>
      </w:tr>
      <w:tr w:rsidR="00431997" w:rsidTr="00280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431997" w:rsidRDefault="00431997" w:rsidP="002A2544">
            <w:pPr>
              <w:jc w:val="center"/>
            </w:pPr>
            <w:r>
              <w:t>Harding</w:t>
            </w:r>
          </w:p>
        </w:tc>
        <w:tc>
          <w:tcPr>
            <w:tcW w:w="1763"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0</w:t>
            </w:r>
          </w:p>
        </w:tc>
        <w:tc>
          <w:tcPr>
            <w:tcW w:w="1802"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1</w:t>
            </w:r>
          </w:p>
        </w:tc>
        <w:tc>
          <w:tcPr>
            <w:tcW w:w="1307"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0</w:t>
            </w:r>
          </w:p>
        </w:tc>
        <w:tc>
          <w:tcPr>
            <w:tcW w:w="1105" w:type="dxa"/>
          </w:tcPr>
          <w:p w:rsidR="00431997" w:rsidRPr="00AA6660" w:rsidRDefault="00431997" w:rsidP="002A2544">
            <w:pPr>
              <w:jc w:val="center"/>
              <w:cnfStyle w:val="000000100000" w:firstRow="0" w:lastRow="0" w:firstColumn="0" w:lastColumn="0" w:oddVBand="0" w:evenVBand="0" w:oddHBand="1" w:evenHBand="0" w:firstRowFirstColumn="0" w:firstRowLastColumn="0" w:lastRowFirstColumn="0" w:lastRowLastColumn="0"/>
            </w:pPr>
            <w:r w:rsidRPr="00AA6660">
              <w:t>12</w:t>
            </w:r>
          </w:p>
        </w:tc>
        <w:tc>
          <w:tcPr>
            <w:tcW w:w="1286" w:type="dxa"/>
            <w:shd w:val="clear" w:color="auto" w:fill="auto"/>
          </w:tcPr>
          <w:p w:rsidR="00431997" w:rsidRPr="00280048" w:rsidRDefault="004C6B2D" w:rsidP="002A2544">
            <w:pPr>
              <w:jc w:val="center"/>
              <w:cnfStyle w:val="000000100000" w:firstRow="0" w:lastRow="0" w:firstColumn="0" w:lastColumn="0" w:oddVBand="0" w:evenVBand="0" w:oddHBand="1" w:evenHBand="0" w:firstRowFirstColumn="0" w:firstRowLastColumn="0" w:lastRowFirstColumn="0" w:lastRowLastColumn="0"/>
            </w:pPr>
            <w:r w:rsidRPr="00280048">
              <w:t>89</w:t>
            </w:r>
          </w:p>
        </w:tc>
        <w:tc>
          <w:tcPr>
            <w:tcW w:w="1198" w:type="dxa"/>
            <w:shd w:val="clear" w:color="auto" w:fill="auto"/>
          </w:tcPr>
          <w:p w:rsidR="00431997" w:rsidRPr="00280048" w:rsidRDefault="004C6B2D" w:rsidP="002A2544">
            <w:pPr>
              <w:jc w:val="center"/>
              <w:cnfStyle w:val="000000100000" w:firstRow="0" w:lastRow="0" w:firstColumn="0" w:lastColumn="0" w:oddVBand="0" w:evenVBand="0" w:oddHBand="1" w:evenHBand="0" w:firstRowFirstColumn="0" w:firstRowLastColumn="0" w:lastRowFirstColumn="0" w:lastRowLastColumn="0"/>
            </w:pPr>
            <w:r w:rsidRPr="00280048">
              <w:t>12</w:t>
            </w:r>
          </w:p>
        </w:tc>
      </w:tr>
      <w:tr w:rsidR="00431997" w:rsidRPr="00BA3209" w:rsidTr="00280048">
        <w:tc>
          <w:tcPr>
            <w:cnfStyle w:val="001000000000" w:firstRow="0" w:lastRow="0" w:firstColumn="1" w:lastColumn="0" w:oddVBand="0" w:evenVBand="0" w:oddHBand="0" w:evenHBand="0" w:firstRowFirstColumn="0" w:firstRowLastColumn="0" w:lastRowFirstColumn="0" w:lastRowLastColumn="0"/>
            <w:tcW w:w="1115" w:type="dxa"/>
          </w:tcPr>
          <w:p w:rsidR="00431997" w:rsidRPr="00280048" w:rsidRDefault="00431997" w:rsidP="002A2544">
            <w:pPr>
              <w:jc w:val="center"/>
              <w:rPr>
                <w:i/>
              </w:rPr>
            </w:pPr>
            <w:r w:rsidRPr="00280048">
              <w:rPr>
                <w:i/>
              </w:rPr>
              <w:t>Butte</w:t>
            </w:r>
          </w:p>
        </w:tc>
        <w:tc>
          <w:tcPr>
            <w:tcW w:w="1763" w:type="dxa"/>
          </w:tcPr>
          <w:p w:rsidR="00431997" w:rsidRPr="00280048" w:rsidRDefault="00431997" w:rsidP="002A2544">
            <w:pPr>
              <w:jc w:val="center"/>
              <w:cnfStyle w:val="000000000000" w:firstRow="0" w:lastRow="0" w:firstColumn="0" w:lastColumn="0" w:oddVBand="0" w:evenVBand="0" w:oddHBand="0" w:evenHBand="0" w:firstRowFirstColumn="0" w:firstRowLastColumn="0" w:lastRowFirstColumn="0" w:lastRowLastColumn="0"/>
              <w:rPr>
                <w:b/>
                <w:i/>
              </w:rPr>
            </w:pPr>
            <w:r w:rsidRPr="00280048">
              <w:rPr>
                <w:b/>
                <w:i/>
              </w:rPr>
              <w:t>2</w:t>
            </w:r>
          </w:p>
        </w:tc>
        <w:tc>
          <w:tcPr>
            <w:tcW w:w="1802" w:type="dxa"/>
          </w:tcPr>
          <w:p w:rsidR="00431997" w:rsidRPr="00280048" w:rsidRDefault="00431997" w:rsidP="002A2544">
            <w:pPr>
              <w:jc w:val="center"/>
              <w:cnfStyle w:val="000000000000" w:firstRow="0" w:lastRow="0" w:firstColumn="0" w:lastColumn="0" w:oddVBand="0" w:evenVBand="0" w:oddHBand="0" w:evenHBand="0" w:firstRowFirstColumn="0" w:firstRowLastColumn="0" w:lastRowFirstColumn="0" w:lastRowLastColumn="0"/>
              <w:rPr>
                <w:b/>
                <w:i/>
              </w:rPr>
            </w:pPr>
            <w:r w:rsidRPr="00280048">
              <w:rPr>
                <w:b/>
                <w:i/>
              </w:rPr>
              <w:t>10</w:t>
            </w:r>
          </w:p>
        </w:tc>
        <w:tc>
          <w:tcPr>
            <w:tcW w:w="1307" w:type="dxa"/>
          </w:tcPr>
          <w:p w:rsidR="00431997" w:rsidRPr="00280048" w:rsidRDefault="00431997" w:rsidP="002A2544">
            <w:pPr>
              <w:jc w:val="center"/>
              <w:cnfStyle w:val="000000000000" w:firstRow="0" w:lastRow="0" w:firstColumn="0" w:lastColumn="0" w:oddVBand="0" w:evenVBand="0" w:oddHBand="0" w:evenHBand="0" w:firstRowFirstColumn="0" w:firstRowLastColumn="0" w:lastRowFirstColumn="0" w:lastRowLastColumn="0"/>
              <w:rPr>
                <w:b/>
                <w:i/>
              </w:rPr>
            </w:pPr>
            <w:r w:rsidRPr="00280048">
              <w:rPr>
                <w:b/>
                <w:i/>
              </w:rPr>
              <w:t>1</w:t>
            </w:r>
          </w:p>
        </w:tc>
        <w:tc>
          <w:tcPr>
            <w:tcW w:w="1105" w:type="dxa"/>
          </w:tcPr>
          <w:p w:rsidR="00431997" w:rsidRPr="00280048" w:rsidRDefault="00431997" w:rsidP="002A2544">
            <w:pPr>
              <w:jc w:val="center"/>
              <w:cnfStyle w:val="000000000000" w:firstRow="0" w:lastRow="0" w:firstColumn="0" w:lastColumn="0" w:oddVBand="0" w:evenVBand="0" w:oddHBand="0" w:evenHBand="0" w:firstRowFirstColumn="0" w:firstRowLastColumn="0" w:lastRowFirstColumn="0" w:lastRowLastColumn="0"/>
              <w:rPr>
                <w:b/>
                <w:i/>
              </w:rPr>
            </w:pPr>
            <w:r w:rsidRPr="00280048">
              <w:rPr>
                <w:b/>
                <w:i/>
              </w:rPr>
              <w:t>181+</w:t>
            </w:r>
          </w:p>
        </w:tc>
        <w:tc>
          <w:tcPr>
            <w:tcW w:w="1286" w:type="dxa"/>
            <w:shd w:val="clear" w:color="auto" w:fill="auto"/>
          </w:tcPr>
          <w:p w:rsidR="00431997" w:rsidRPr="00280048" w:rsidRDefault="004C6B2D" w:rsidP="002A2544">
            <w:pPr>
              <w:jc w:val="center"/>
              <w:cnfStyle w:val="000000000000" w:firstRow="0" w:lastRow="0" w:firstColumn="0" w:lastColumn="0" w:oddVBand="0" w:evenVBand="0" w:oddHBand="0" w:evenHBand="0" w:firstRowFirstColumn="0" w:firstRowLastColumn="0" w:lastRowFirstColumn="0" w:lastRowLastColumn="0"/>
              <w:rPr>
                <w:b/>
                <w:i/>
              </w:rPr>
            </w:pPr>
            <w:r w:rsidRPr="00280048">
              <w:rPr>
                <w:b/>
                <w:i/>
              </w:rPr>
              <w:t>661</w:t>
            </w:r>
          </w:p>
        </w:tc>
        <w:tc>
          <w:tcPr>
            <w:tcW w:w="1198" w:type="dxa"/>
            <w:shd w:val="clear" w:color="auto" w:fill="auto"/>
          </w:tcPr>
          <w:p w:rsidR="00431997" w:rsidRPr="00280048" w:rsidRDefault="004C6B2D" w:rsidP="002A2544">
            <w:pPr>
              <w:jc w:val="center"/>
              <w:cnfStyle w:val="000000000000" w:firstRow="0" w:lastRow="0" w:firstColumn="0" w:lastColumn="0" w:oddVBand="0" w:evenVBand="0" w:oddHBand="0" w:evenHBand="0" w:firstRowFirstColumn="0" w:firstRowLastColumn="0" w:lastRowFirstColumn="0" w:lastRowLastColumn="0"/>
              <w:rPr>
                <w:b/>
                <w:i/>
              </w:rPr>
            </w:pPr>
            <w:r w:rsidRPr="00280048">
              <w:rPr>
                <w:b/>
                <w:i/>
              </w:rPr>
              <w:t>82</w:t>
            </w:r>
          </w:p>
        </w:tc>
      </w:tr>
      <w:tr w:rsidR="00431997" w:rsidTr="002800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5" w:type="dxa"/>
          </w:tcPr>
          <w:p w:rsidR="00431997" w:rsidRDefault="00431997" w:rsidP="002A2544">
            <w:pPr>
              <w:jc w:val="center"/>
            </w:pPr>
            <w:r>
              <w:t>Shannon</w:t>
            </w:r>
          </w:p>
        </w:tc>
        <w:tc>
          <w:tcPr>
            <w:tcW w:w="1763"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4</w:t>
            </w:r>
          </w:p>
        </w:tc>
        <w:tc>
          <w:tcPr>
            <w:tcW w:w="1802"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2</w:t>
            </w:r>
          </w:p>
        </w:tc>
        <w:tc>
          <w:tcPr>
            <w:tcW w:w="1307" w:type="dxa"/>
          </w:tcPr>
          <w:p w:rsidR="00431997" w:rsidRDefault="00431997" w:rsidP="002A2544">
            <w:pPr>
              <w:jc w:val="center"/>
              <w:cnfStyle w:val="000000100000" w:firstRow="0" w:lastRow="0" w:firstColumn="0" w:lastColumn="0" w:oddVBand="0" w:evenVBand="0" w:oddHBand="1" w:evenHBand="0" w:firstRowFirstColumn="0" w:firstRowLastColumn="0" w:lastRowFirstColumn="0" w:lastRowLastColumn="0"/>
            </w:pPr>
            <w:r>
              <w:t>0</w:t>
            </w:r>
          </w:p>
        </w:tc>
        <w:tc>
          <w:tcPr>
            <w:tcW w:w="1105" w:type="dxa"/>
          </w:tcPr>
          <w:p w:rsidR="00431997" w:rsidRPr="00AA6660" w:rsidRDefault="00431997" w:rsidP="002A2544">
            <w:pPr>
              <w:jc w:val="center"/>
              <w:cnfStyle w:val="000000100000" w:firstRow="0" w:lastRow="0" w:firstColumn="0" w:lastColumn="0" w:oddVBand="0" w:evenVBand="0" w:oddHBand="1" w:evenHBand="0" w:firstRowFirstColumn="0" w:firstRowLastColumn="0" w:lastRowFirstColumn="0" w:lastRowLastColumn="0"/>
            </w:pPr>
            <w:r w:rsidRPr="00AA6660">
              <w:t>104</w:t>
            </w:r>
          </w:p>
        </w:tc>
        <w:tc>
          <w:tcPr>
            <w:tcW w:w="1286" w:type="dxa"/>
            <w:shd w:val="clear" w:color="auto" w:fill="auto"/>
          </w:tcPr>
          <w:p w:rsidR="00431997" w:rsidRPr="00280048" w:rsidRDefault="004C6B2D" w:rsidP="002A2544">
            <w:pPr>
              <w:jc w:val="center"/>
              <w:cnfStyle w:val="000000100000" w:firstRow="0" w:lastRow="0" w:firstColumn="0" w:lastColumn="0" w:oddVBand="0" w:evenVBand="0" w:oddHBand="1" w:evenHBand="0" w:firstRowFirstColumn="0" w:firstRowLastColumn="0" w:lastRowFirstColumn="0" w:lastRowLastColumn="0"/>
            </w:pPr>
            <w:r w:rsidRPr="00280048">
              <w:t>1,637</w:t>
            </w:r>
          </w:p>
        </w:tc>
        <w:tc>
          <w:tcPr>
            <w:tcW w:w="1198" w:type="dxa"/>
            <w:shd w:val="clear" w:color="auto" w:fill="auto"/>
          </w:tcPr>
          <w:p w:rsidR="00431997" w:rsidRPr="00280048" w:rsidRDefault="004C6B2D" w:rsidP="002A2544">
            <w:pPr>
              <w:jc w:val="center"/>
              <w:cnfStyle w:val="000000100000" w:firstRow="0" w:lastRow="0" w:firstColumn="0" w:lastColumn="0" w:oddVBand="0" w:evenVBand="0" w:oddHBand="1" w:evenHBand="0" w:firstRowFirstColumn="0" w:firstRowLastColumn="0" w:lastRowFirstColumn="0" w:lastRowLastColumn="0"/>
            </w:pPr>
            <w:r w:rsidRPr="00280048">
              <w:t>1002</w:t>
            </w:r>
          </w:p>
        </w:tc>
      </w:tr>
      <w:tr w:rsidR="00431997" w:rsidTr="00280048">
        <w:tc>
          <w:tcPr>
            <w:cnfStyle w:val="001000000000" w:firstRow="0" w:lastRow="0" w:firstColumn="1" w:lastColumn="0" w:oddVBand="0" w:evenVBand="0" w:oddHBand="0" w:evenHBand="0" w:firstRowFirstColumn="0" w:firstRowLastColumn="0" w:lastRowFirstColumn="0" w:lastRowLastColumn="0"/>
            <w:tcW w:w="1115" w:type="dxa"/>
          </w:tcPr>
          <w:p w:rsidR="00431997" w:rsidRDefault="00431997" w:rsidP="002A2544">
            <w:pPr>
              <w:jc w:val="center"/>
            </w:pPr>
            <w:r>
              <w:t>Bennett</w:t>
            </w:r>
          </w:p>
        </w:tc>
        <w:tc>
          <w:tcPr>
            <w:tcW w:w="1763" w:type="dxa"/>
          </w:tcPr>
          <w:p w:rsidR="00431997" w:rsidRDefault="00431997" w:rsidP="002A2544">
            <w:pPr>
              <w:jc w:val="center"/>
              <w:cnfStyle w:val="000000000000" w:firstRow="0" w:lastRow="0" w:firstColumn="0" w:lastColumn="0" w:oddVBand="0" w:evenVBand="0" w:oddHBand="0" w:evenHBand="0" w:firstRowFirstColumn="0" w:firstRowLastColumn="0" w:lastRowFirstColumn="0" w:lastRowLastColumn="0"/>
            </w:pPr>
            <w:r>
              <w:t>1</w:t>
            </w:r>
          </w:p>
        </w:tc>
        <w:tc>
          <w:tcPr>
            <w:tcW w:w="1802" w:type="dxa"/>
          </w:tcPr>
          <w:p w:rsidR="00431997" w:rsidRDefault="00431997" w:rsidP="002A2544">
            <w:pPr>
              <w:jc w:val="center"/>
              <w:cnfStyle w:val="000000000000" w:firstRow="0" w:lastRow="0" w:firstColumn="0" w:lastColumn="0" w:oddVBand="0" w:evenVBand="0" w:oddHBand="0" w:evenHBand="0" w:firstRowFirstColumn="0" w:firstRowLastColumn="0" w:lastRowFirstColumn="0" w:lastRowLastColumn="0"/>
            </w:pPr>
            <w:r>
              <w:t>4</w:t>
            </w:r>
          </w:p>
        </w:tc>
        <w:tc>
          <w:tcPr>
            <w:tcW w:w="1307" w:type="dxa"/>
          </w:tcPr>
          <w:p w:rsidR="00431997" w:rsidRDefault="00431997" w:rsidP="002A2544">
            <w:pPr>
              <w:jc w:val="center"/>
              <w:cnfStyle w:val="000000000000" w:firstRow="0" w:lastRow="0" w:firstColumn="0" w:lastColumn="0" w:oddVBand="0" w:evenVBand="0" w:oddHBand="0" w:evenHBand="0" w:firstRowFirstColumn="0" w:firstRowLastColumn="0" w:lastRowFirstColumn="0" w:lastRowLastColumn="0"/>
            </w:pPr>
            <w:r>
              <w:t>0</w:t>
            </w:r>
          </w:p>
        </w:tc>
        <w:tc>
          <w:tcPr>
            <w:tcW w:w="1105" w:type="dxa"/>
          </w:tcPr>
          <w:p w:rsidR="00431997" w:rsidRPr="00AA6660" w:rsidRDefault="00431997" w:rsidP="002A2544">
            <w:pPr>
              <w:jc w:val="center"/>
              <w:cnfStyle w:val="000000000000" w:firstRow="0" w:lastRow="0" w:firstColumn="0" w:lastColumn="0" w:oddVBand="0" w:evenVBand="0" w:oddHBand="0" w:evenHBand="0" w:firstRowFirstColumn="0" w:firstRowLastColumn="0" w:lastRowFirstColumn="0" w:lastRowLastColumn="0"/>
            </w:pPr>
            <w:r w:rsidRPr="00AA6660">
              <w:t>68</w:t>
            </w:r>
          </w:p>
        </w:tc>
        <w:tc>
          <w:tcPr>
            <w:tcW w:w="1286" w:type="dxa"/>
            <w:shd w:val="clear" w:color="auto" w:fill="auto"/>
          </w:tcPr>
          <w:p w:rsidR="00431997" w:rsidRPr="00280048" w:rsidRDefault="00280048" w:rsidP="002A2544">
            <w:pPr>
              <w:jc w:val="center"/>
              <w:cnfStyle w:val="000000000000" w:firstRow="0" w:lastRow="0" w:firstColumn="0" w:lastColumn="0" w:oddVBand="0" w:evenVBand="0" w:oddHBand="0" w:evenHBand="0" w:firstRowFirstColumn="0" w:firstRowLastColumn="0" w:lastRowFirstColumn="0" w:lastRowLastColumn="0"/>
            </w:pPr>
            <w:r w:rsidRPr="00280048">
              <w:t>352</w:t>
            </w:r>
          </w:p>
        </w:tc>
        <w:tc>
          <w:tcPr>
            <w:tcW w:w="1198" w:type="dxa"/>
            <w:shd w:val="clear" w:color="auto" w:fill="auto"/>
          </w:tcPr>
          <w:p w:rsidR="00431997" w:rsidRPr="00280048" w:rsidRDefault="00280048" w:rsidP="002A2544">
            <w:pPr>
              <w:jc w:val="center"/>
              <w:cnfStyle w:val="000000000000" w:firstRow="0" w:lastRow="0" w:firstColumn="0" w:lastColumn="0" w:oddVBand="0" w:evenVBand="0" w:oddHBand="0" w:evenHBand="0" w:firstRowFirstColumn="0" w:firstRowLastColumn="0" w:lastRowFirstColumn="0" w:lastRowLastColumn="0"/>
            </w:pPr>
            <w:r w:rsidRPr="00280048">
              <w:t>197</w:t>
            </w:r>
          </w:p>
        </w:tc>
      </w:tr>
    </w:tbl>
    <w:p w:rsidR="00E71A8B" w:rsidRPr="00E71A8B" w:rsidRDefault="00E71A8B" w:rsidP="00E71A8B">
      <w:pPr>
        <w:spacing w:line="480" w:lineRule="auto"/>
        <w:jc w:val="center"/>
        <w:rPr>
          <w:b/>
        </w:rPr>
      </w:pPr>
      <w:r w:rsidRPr="00E71A8B">
        <w:rPr>
          <w:b/>
        </w:rPr>
        <w:t>Figure 2.2</w:t>
      </w:r>
    </w:p>
    <w:p w:rsidR="00431997" w:rsidRPr="00431997" w:rsidRDefault="004C4D70" w:rsidP="00A36A0C">
      <w:pPr>
        <w:spacing w:line="480" w:lineRule="auto"/>
        <w:ind w:firstLine="720"/>
      </w:pPr>
      <w:r>
        <w:t>In sum, although there are an ample number of child care entities serving the counties where TREC provides Head Start and Early Head Start programs, it is unknown as to the relative quality and affordability that these programs give their children and families. This will require further investigation, planning, and study.</w:t>
      </w:r>
    </w:p>
    <w:p w:rsidR="00FA4CED" w:rsidRDefault="00FA4CED" w:rsidP="00FA4CED"/>
    <w:p w:rsidR="00FA4CED" w:rsidRDefault="00FA4CED" w:rsidP="00FA4CED">
      <w:pPr>
        <w:pStyle w:val="Heading1"/>
      </w:pPr>
      <w:bookmarkStart w:id="12" w:name="_Toc416269435"/>
      <w:r>
        <w:t>Children with Disabilities and Services provided</w:t>
      </w:r>
      <w:bookmarkEnd w:id="12"/>
    </w:p>
    <w:p w:rsidR="00280048" w:rsidRDefault="0062275F" w:rsidP="00280048">
      <w:pPr>
        <w:spacing w:line="480" w:lineRule="auto"/>
        <w:ind w:firstLine="720"/>
      </w:pPr>
      <w:bookmarkStart w:id="13" w:name="OLE_LINK1"/>
      <w:bookmarkStart w:id="14" w:name="OLE_LINK2"/>
      <w:r>
        <w:t>Children with d</w:t>
      </w:r>
      <w:r w:rsidR="00187AC8">
        <w:t>isabilities are an important</w:t>
      </w:r>
      <w:r>
        <w:t xml:space="preserve"> part of the population TREC serves. Unlike regular education students, children with disabilities require a special amount of care that often requires a specialized form of instruction, physical, and developmental services. While TREC does partner with many agencies to help with </w:t>
      </w:r>
      <w:r>
        <w:lastRenderedPageBreak/>
        <w:t xml:space="preserve">services (physical, counseling, </w:t>
      </w:r>
      <w:r w:rsidR="0032130B">
        <w:t>etc.</w:t>
      </w:r>
      <w:r>
        <w:t>) for stude</w:t>
      </w:r>
      <w:r w:rsidR="00167D5D">
        <w:t xml:space="preserve">nts with disabilities, we </w:t>
      </w:r>
      <w:proofErr w:type="gramStart"/>
      <w:r w:rsidR="00167D5D">
        <w:t xml:space="preserve">aim </w:t>
      </w:r>
      <w:r>
        <w:t xml:space="preserve"> to</w:t>
      </w:r>
      <w:proofErr w:type="gramEnd"/>
      <w:r>
        <w:t xml:space="preserve"> m</w:t>
      </w:r>
      <w:r w:rsidR="00CC5906">
        <w:t>e</w:t>
      </w:r>
      <w:r>
        <w:t xml:space="preserve">et the most essential needs of the child. </w:t>
      </w:r>
    </w:p>
    <w:p w:rsidR="00D024D4" w:rsidRDefault="00D024D4" w:rsidP="00280048">
      <w:pPr>
        <w:spacing w:line="480" w:lineRule="auto"/>
        <w:ind w:firstLine="720"/>
      </w:pPr>
      <w:r>
        <w:t xml:space="preserve">Determining the number of Students with Disabilities under the age of 5 years is </w:t>
      </w:r>
      <w:proofErr w:type="gramStart"/>
      <w:r>
        <w:t>key</w:t>
      </w:r>
      <w:proofErr w:type="gramEnd"/>
      <w:r>
        <w:t xml:space="preserve"> to planning </w:t>
      </w:r>
      <w:r w:rsidR="00D94067">
        <w:t>for services within our counties. The table below illustrates the estimated number of Students with Disabilities</w:t>
      </w:r>
      <w:r w:rsidR="004E291E">
        <w:t xml:space="preserve"> in the counties which TREC serves.</w:t>
      </w:r>
      <w:r w:rsidR="00EA3390">
        <w:t xml:space="preserve"> We determined the number of Students with disabilities in our counties by multiplying the PK-12 Special Education percentage by the number of children </w:t>
      </w:r>
      <w:r w:rsidR="00E058AD">
        <w:t>less than</w:t>
      </w:r>
      <w:r w:rsidR="00EA3390">
        <w:t xml:space="preserve"> 5 years of age in each county.</w:t>
      </w:r>
      <w:r w:rsidR="004E291E">
        <w:t xml:space="preserve"> </w:t>
      </w:r>
      <w:r w:rsidR="000F2871">
        <w:t xml:space="preserve"> Head Start Performance Standards indicate that at least 10% of enrolled students must be students with disabilities. It is evident from the data that we can certainly fulfill these requirements if we are painstaking about our recruitment efforts. In addition, the data below are very helpful when it comes to deciding what program options work best in certain counties. It is clear from the data that a combination of home-based services and center-based services are necessary to fulfill the needs of our communities.</w:t>
      </w:r>
      <w:r w:rsidR="00EA3390">
        <w:t xml:space="preserve"> Data from the Program Information Report (PIR) helps bring detail to light in terms of Students with Disabilities enrolled in Head Start and Early Head Start. This information is highlighted in the paragraphs below.</w:t>
      </w:r>
    </w:p>
    <w:tbl>
      <w:tblPr>
        <w:tblStyle w:val="LightList-Accent1"/>
        <w:tblW w:w="3880" w:type="dxa"/>
        <w:jc w:val="center"/>
        <w:tblLook w:val="04A0" w:firstRow="1" w:lastRow="0" w:firstColumn="1" w:lastColumn="0" w:noHBand="0" w:noVBand="1"/>
      </w:tblPr>
      <w:tblGrid>
        <w:gridCol w:w="1020"/>
        <w:gridCol w:w="2860"/>
      </w:tblGrid>
      <w:tr w:rsidR="00D024D4" w:rsidRPr="00D024D4" w:rsidTr="00EA339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FFFFFF"/>
                <w:sz w:val="22"/>
                <w:szCs w:val="22"/>
              </w:rPr>
            </w:pPr>
            <w:r w:rsidRPr="00D024D4">
              <w:rPr>
                <w:rFonts w:ascii="Calibri" w:eastAsia="Times New Roman" w:hAnsi="Calibri" w:cs="Calibri"/>
                <w:color w:val="FFFFFF"/>
                <w:sz w:val="22"/>
                <w:szCs w:val="22"/>
              </w:rPr>
              <w:t>County</w:t>
            </w:r>
          </w:p>
        </w:tc>
        <w:tc>
          <w:tcPr>
            <w:tcW w:w="2860" w:type="dxa"/>
            <w:noWrap/>
            <w:hideMark/>
          </w:tcPr>
          <w:p w:rsidR="00D024D4" w:rsidRPr="00D024D4" w:rsidRDefault="00D024D4" w:rsidP="00D024D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D024D4">
              <w:rPr>
                <w:rFonts w:ascii="Calibri" w:eastAsia="Times New Roman" w:hAnsi="Calibri" w:cs="Calibri"/>
                <w:color w:val="FFFFFF"/>
                <w:sz w:val="22"/>
                <w:szCs w:val="22"/>
              </w:rPr>
              <w:t># Special Education Under 5</w:t>
            </w:r>
          </w:p>
        </w:tc>
      </w:tr>
      <w:tr w:rsidR="00D024D4" w:rsidRPr="00D024D4" w:rsidTr="00EA33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000000"/>
                <w:sz w:val="22"/>
                <w:szCs w:val="22"/>
              </w:rPr>
            </w:pPr>
            <w:r w:rsidRPr="00D024D4">
              <w:rPr>
                <w:rFonts w:ascii="Calibri" w:eastAsia="Times New Roman" w:hAnsi="Calibri" w:cs="Calibri"/>
                <w:color w:val="000000"/>
                <w:sz w:val="22"/>
                <w:szCs w:val="22"/>
              </w:rPr>
              <w:t>Bennett</w:t>
            </w:r>
          </w:p>
        </w:tc>
        <w:tc>
          <w:tcPr>
            <w:tcW w:w="2860" w:type="dxa"/>
            <w:noWrap/>
            <w:hideMark/>
          </w:tcPr>
          <w:p w:rsidR="00D024D4" w:rsidRPr="00D024D4" w:rsidRDefault="00D024D4" w:rsidP="00D024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D024D4">
              <w:rPr>
                <w:rFonts w:ascii="Calibri" w:eastAsia="Times New Roman" w:hAnsi="Calibri" w:cs="Calibri"/>
                <w:color w:val="000000"/>
                <w:sz w:val="22"/>
                <w:szCs w:val="22"/>
              </w:rPr>
              <w:t>46</w:t>
            </w:r>
          </w:p>
        </w:tc>
      </w:tr>
      <w:tr w:rsidR="00D024D4" w:rsidRPr="00D024D4" w:rsidTr="00EA3390">
        <w:trPr>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000000"/>
                <w:sz w:val="22"/>
                <w:szCs w:val="22"/>
              </w:rPr>
            </w:pPr>
            <w:r w:rsidRPr="00D024D4">
              <w:rPr>
                <w:rFonts w:ascii="Calibri" w:eastAsia="Times New Roman" w:hAnsi="Calibri" w:cs="Calibri"/>
                <w:color w:val="000000"/>
                <w:sz w:val="22"/>
                <w:szCs w:val="22"/>
              </w:rPr>
              <w:t xml:space="preserve">Butte </w:t>
            </w:r>
          </w:p>
        </w:tc>
        <w:tc>
          <w:tcPr>
            <w:tcW w:w="2860" w:type="dxa"/>
            <w:noWrap/>
            <w:hideMark/>
          </w:tcPr>
          <w:p w:rsidR="00D024D4" w:rsidRPr="00D024D4" w:rsidRDefault="00D024D4" w:rsidP="00D024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D024D4">
              <w:rPr>
                <w:rFonts w:ascii="Calibri" w:eastAsia="Times New Roman" w:hAnsi="Calibri" w:cs="Calibri"/>
                <w:color w:val="000000"/>
                <w:sz w:val="22"/>
                <w:szCs w:val="22"/>
              </w:rPr>
              <w:t>106</w:t>
            </w:r>
          </w:p>
        </w:tc>
      </w:tr>
      <w:tr w:rsidR="00D024D4" w:rsidRPr="00D024D4" w:rsidTr="00EA33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000000"/>
                <w:sz w:val="22"/>
                <w:szCs w:val="22"/>
              </w:rPr>
            </w:pPr>
            <w:r w:rsidRPr="00D024D4">
              <w:rPr>
                <w:rFonts w:ascii="Calibri" w:eastAsia="Times New Roman" w:hAnsi="Calibri" w:cs="Calibri"/>
                <w:color w:val="000000"/>
                <w:sz w:val="22"/>
                <w:szCs w:val="22"/>
              </w:rPr>
              <w:t>Corson</w:t>
            </w:r>
          </w:p>
        </w:tc>
        <w:tc>
          <w:tcPr>
            <w:tcW w:w="2860" w:type="dxa"/>
            <w:noWrap/>
            <w:hideMark/>
          </w:tcPr>
          <w:p w:rsidR="00D024D4" w:rsidRPr="00D024D4" w:rsidRDefault="00D024D4" w:rsidP="00D024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D024D4">
              <w:rPr>
                <w:rFonts w:ascii="Calibri" w:eastAsia="Times New Roman" w:hAnsi="Calibri" w:cs="Calibri"/>
                <w:color w:val="000000"/>
                <w:sz w:val="22"/>
                <w:szCs w:val="22"/>
              </w:rPr>
              <w:t>20</w:t>
            </w:r>
          </w:p>
        </w:tc>
      </w:tr>
      <w:tr w:rsidR="00D024D4" w:rsidRPr="00D024D4" w:rsidTr="00EA3390">
        <w:trPr>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000000"/>
                <w:sz w:val="22"/>
                <w:szCs w:val="22"/>
              </w:rPr>
            </w:pPr>
            <w:r w:rsidRPr="00D024D4">
              <w:rPr>
                <w:rFonts w:ascii="Calibri" w:eastAsia="Times New Roman" w:hAnsi="Calibri" w:cs="Calibri"/>
                <w:color w:val="000000"/>
                <w:sz w:val="22"/>
                <w:szCs w:val="22"/>
              </w:rPr>
              <w:t>Harding</w:t>
            </w:r>
          </w:p>
        </w:tc>
        <w:tc>
          <w:tcPr>
            <w:tcW w:w="2860" w:type="dxa"/>
            <w:noWrap/>
            <w:hideMark/>
          </w:tcPr>
          <w:p w:rsidR="00D024D4" w:rsidRPr="00D024D4" w:rsidRDefault="00D024D4" w:rsidP="00D024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D024D4">
              <w:rPr>
                <w:rFonts w:ascii="Calibri" w:eastAsia="Times New Roman" w:hAnsi="Calibri" w:cs="Calibri"/>
                <w:color w:val="000000"/>
                <w:sz w:val="22"/>
                <w:szCs w:val="22"/>
              </w:rPr>
              <w:t>12</w:t>
            </w:r>
          </w:p>
        </w:tc>
      </w:tr>
      <w:tr w:rsidR="00D024D4" w:rsidRPr="00D024D4" w:rsidTr="00EA339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000000"/>
                <w:sz w:val="22"/>
                <w:szCs w:val="22"/>
              </w:rPr>
            </w:pPr>
            <w:r w:rsidRPr="00D024D4">
              <w:rPr>
                <w:rFonts w:ascii="Calibri" w:eastAsia="Times New Roman" w:hAnsi="Calibri" w:cs="Calibri"/>
                <w:color w:val="000000"/>
                <w:sz w:val="22"/>
                <w:szCs w:val="22"/>
              </w:rPr>
              <w:t>Perkins</w:t>
            </w:r>
          </w:p>
        </w:tc>
        <w:tc>
          <w:tcPr>
            <w:tcW w:w="2860" w:type="dxa"/>
            <w:noWrap/>
            <w:hideMark/>
          </w:tcPr>
          <w:p w:rsidR="00D024D4" w:rsidRPr="00D024D4" w:rsidRDefault="00D024D4" w:rsidP="00D024D4">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D024D4">
              <w:rPr>
                <w:rFonts w:ascii="Calibri" w:eastAsia="Times New Roman" w:hAnsi="Calibri" w:cs="Calibri"/>
                <w:color w:val="000000"/>
                <w:sz w:val="22"/>
                <w:szCs w:val="22"/>
              </w:rPr>
              <w:t>20</w:t>
            </w:r>
          </w:p>
        </w:tc>
      </w:tr>
      <w:tr w:rsidR="00D024D4" w:rsidRPr="00D024D4" w:rsidTr="00EA3390">
        <w:trPr>
          <w:trHeight w:val="300"/>
          <w:jc w:val="center"/>
        </w:trPr>
        <w:tc>
          <w:tcPr>
            <w:cnfStyle w:val="001000000000" w:firstRow="0" w:lastRow="0" w:firstColumn="1" w:lastColumn="0" w:oddVBand="0" w:evenVBand="0" w:oddHBand="0" w:evenHBand="0" w:firstRowFirstColumn="0" w:firstRowLastColumn="0" w:lastRowFirstColumn="0" w:lastRowLastColumn="0"/>
            <w:tcW w:w="1020" w:type="dxa"/>
            <w:noWrap/>
            <w:hideMark/>
          </w:tcPr>
          <w:p w:rsidR="00D024D4" w:rsidRPr="00D024D4" w:rsidRDefault="00D024D4" w:rsidP="00D024D4">
            <w:pPr>
              <w:rPr>
                <w:rFonts w:ascii="Calibri" w:eastAsia="Times New Roman" w:hAnsi="Calibri" w:cs="Calibri"/>
                <w:color w:val="000000"/>
                <w:sz w:val="22"/>
                <w:szCs w:val="22"/>
              </w:rPr>
            </w:pPr>
            <w:r w:rsidRPr="00D024D4">
              <w:rPr>
                <w:rFonts w:ascii="Calibri" w:eastAsia="Times New Roman" w:hAnsi="Calibri" w:cs="Calibri"/>
                <w:color w:val="000000"/>
                <w:sz w:val="22"/>
                <w:szCs w:val="22"/>
              </w:rPr>
              <w:t>Shannon</w:t>
            </w:r>
          </w:p>
        </w:tc>
        <w:tc>
          <w:tcPr>
            <w:tcW w:w="2860" w:type="dxa"/>
            <w:noWrap/>
            <w:hideMark/>
          </w:tcPr>
          <w:p w:rsidR="00D024D4" w:rsidRPr="00D024D4" w:rsidRDefault="00D024D4" w:rsidP="00D024D4">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D024D4">
              <w:rPr>
                <w:rFonts w:ascii="Calibri" w:eastAsia="Times New Roman" w:hAnsi="Calibri" w:cs="Calibri"/>
                <w:color w:val="000000"/>
                <w:sz w:val="22"/>
                <w:szCs w:val="22"/>
              </w:rPr>
              <w:t>356</w:t>
            </w:r>
          </w:p>
        </w:tc>
      </w:tr>
    </w:tbl>
    <w:p w:rsidR="00EA3390" w:rsidRPr="00E71A8B" w:rsidRDefault="00EA3390" w:rsidP="00EA3390">
      <w:pPr>
        <w:spacing w:line="480" w:lineRule="auto"/>
        <w:jc w:val="center"/>
        <w:rPr>
          <w:b/>
        </w:rPr>
      </w:pPr>
      <w:r>
        <w:rPr>
          <w:b/>
        </w:rPr>
        <w:t>Figure 2.3</w:t>
      </w:r>
    </w:p>
    <w:p w:rsidR="00F76224" w:rsidRDefault="00C17EBF" w:rsidP="00EA3390">
      <w:pPr>
        <w:spacing w:line="480" w:lineRule="auto"/>
        <w:ind w:firstLine="720"/>
      </w:pPr>
      <w:r>
        <w:t xml:space="preserve">According to Program Information Report (PIR) data from the 2013-2014 year, TREC had approximately 29 children enrolled in our </w:t>
      </w:r>
      <w:r w:rsidR="00167D5D">
        <w:t>programs that were either on an</w:t>
      </w:r>
      <w:r>
        <w:t xml:space="preserve"> Individualized Education Program or Individual Family Service Plan. When you break it down by Head Start and Early Head Start, this equates to approximately 10% of Head Start and 15% of Early Head Start children receiving Special Education services. More often than not, Head Start children receiving services were categorized as needing help with speech and language. A smaller number of students received services relating to developmental delays.</w:t>
      </w:r>
    </w:p>
    <w:p w:rsidR="00D024D4" w:rsidRDefault="00C17EBF" w:rsidP="00EA3390">
      <w:pPr>
        <w:spacing w:line="480" w:lineRule="auto"/>
        <w:ind w:firstLine="720"/>
      </w:pPr>
      <w:r>
        <w:lastRenderedPageBreak/>
        <w:t>Due to our size, TREC could not provide all services for Students with Disabilities on its own. Therefore, we rely heavily on many community partners to help facilitate the work. We discuss the partners in a more detailed fashion later in this assessment, but Birth to 3 Connections and many LEAs (e.g., Bison, Harding County, Belle Fourche, Newell, Lemmon, and Shannon County) provide much help with ou</w:t>
      </w:r>
      <w:r w:rsidR="00EA3390">
        <w:t>r Special Education population.</w:t>
      </w:r>
    </w:p>
    <w:p w:rsidR="00C17EBF" w:rsidRDefault="00280048" w:rsidP="00C00616">
      <w:pPr>
        <w:spacing w:line="480" w:lineRule="auto"/>
        <w:ind w:firstLine="720"/>
      </w:pPr>
      <w:r>
        <w:t xml:space="preserve">Data from the South Dakota DOE illustrate that approximately x% of the school age population in our counties have disabilities. </w:t>
      </w:r>
      <w:r w:rsidR="00E058AD">
        <w:t xml:space="preserve">These data are helpful as they </w:t>
      </w:r>
      <w:r w:rsidR="00C00616">
        <w:t>let us know how the PreK-12 numbers stack up in terms of Special Education students. In addition, these percentages were actually used to derive the estimated number of Head Start and Early Head Start eligible children who would potentially need Special Education services. This is explained in detail above.</w:t>
      </w:r>
    </w:p>
    <w:tbl>
      <w:tblPr>
        <w:tblStyle w:val="LightList-Accent1"/>
        <w:tblW w:w="9465" w:type="dxa"/>
        <w:tblLook w:val="04A0" w:firstRow="1" w:lastRow="0" w:firstColumn="1" w:lastColumn="0" w:noHBand="0" w:noVBand="1"/>
      </w:tblPr>
      <w:tblGrid>
        <w:gridCol w:w="3700"/>
        <w:gridCol w:w="2525"/>
        <w:gridCol w:w="3240"/>
      </w:tblGrid>
      <w:tr w:rsidR="00F76224" w:rsidRPr="00F76224" w:rsidTr="00F76224">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3700" w:type="dxa"/>
            <w:hideMark/>
          </w:tcPr>
          <w:p w:rsidR="00F76224" w:rsidRPr="00F76224" w:rsidRDefault="00F76224" w:rsidP="00F76224">
            <w:pPr>
              <w:jc w:val="center"/>
              <w:rPr>
                <w:rFonts w:ascii="Ebrima" w:eastAsia="Times New Roman" w:hAnsi="Ebrima" w:cs="Arial"/>
                <w:color w:val="EEECE1"/>
                <w:sz w:val="22"/>
                <w:szCs w:val="22"/>
              </w:rPr>
            </w:pPr>
            <w:r w:rsidRPr="00F76224">
              <w:rPr>
                <w:rFonts w:ascii="Ebrima" w:eastAsia="Times New Roman" w:hAnsi="Ebrima" w:cs="Arial"/>
                <w:color w:val="EEECE1"/>
                <w:sz w:val="22"/>
                <w:szCs w:val="22"/>
              </w:rPr>
              <w:t>District Name</w:t>
            </w:r>
          </w:p>
        </w:tc>
        <w:tc>
          <w:tcPr>
            <w:tcW w:w="2525" w:type="dxa"/>
            <w:hideMark/>
          </w:tcPr>
          <w:p w:rsidR="00F76224" w:rsidRPr="00F76224" w:rsidRDefault="00F76224" w:rsidP="00F76224">
            <w:pPr>
              <w:jc w:val="center"/>
              <w:cnfStyle w:val="100000000000" w:firstRow="1" w:lastRow="0" w:firstColumn="0" w:lastColumn="0" w:oddVBand="0" w:evenVBand="0" w:oddHBand="0" w:evenHBand="0" w:firstRowFirstColumn="0" w:firstRowLastColumn="0" w:lastRowFirstColumn="0" w:lastRowLastColumn="0"/>
              <w:rPr>
                <w:rFonts w:ascii="Ebrima" w:eastAsia="Times New Roman" w:hAnsi="Ebrima" w:cs="Arial"/>
                <w:color w:val="EEECE1"/>
                <w:sz w:val="22"/>
                <w:szCs w:val="22"/>
              </w:rPr>
            </w:pPr>
            <w:r w:rsidRPr="00F76224">
              <w:rPr>
                <w:rFonts w:ascii="Ebrima" w:eastAsia="Times New Roman" w:hAnsi="Ebrima" w:cs="Arial"/>
                <w:color w:val="EEECE1"/>
                <w:sz w:val="22"/>
                <w:szCs w:val="22"/>
              </w:rPr>
              <w:t xml:space="preserve">Total </w:t>
            </w:r>
            <w:r>
              <w:rPr>
                <w:rFonts w:ascii="Ebrima" w:eastAsia="Times New Roman" w:hAnsi="Ebrima" w:cs="Arial"/>
                <w:color w:val="EEECE1"/>
                <w:sz w:val="22"/>
                <w:szCs w:val="22"/>
              </w:rPr>
              <w:t>Special Education</w:t>
            </w:r>
          </w:p>
        </w:tc>
        <w:tc>
          <w:tcPr>
            <w:tcW w:w="3240" w:type="dxa"/>
            <w:hideMark/>
          </w:tcPr>
          <w:p w:rsidR="00F76224" w:rsidRPr="00F76224" w:rsidRDefault="00F76224" w:rsidP="00F76224">
            <w:pPr>
              <w:jc w:val="center"/>
              <w:cnfStyle w:val="100000000000" w:firstRow="1" w:lastRow="0" w:firstColumn="0" w:lastColumn="0" w:oddVBand="0" w:evenVBand="0" w:oddHBand="0" w:evenHBand="0" w:firstRowFirstColumn="0" w:firstRowLastColumn="0" w:lastRowFirstColumn="0" w:lastRowLastColumn="0"/>
              <w:rPr>
                <w:rFonts w:ascii="Ebrima" w:eastAsia="Times New Roman" w:hAnsi="Ebrima" w:cs="Arial"/>
                <w:color w:val="EEECE1"/>
                <w:sz w:val="22"/>
                <w:szCs w:val="22"/>
              </w:rPr>
            </w:pPr>
            <w:r w:rsidRPr="00F76224">
              <w:rPr>
                <w:rFonts w:ascii="Ebrima" w:eastAsia="Times New Roman" w:hAnsi="Ebrima" w:cs="Arial"/>
                <w:color w:val="EEECE1"/>
                <w:sz w:val="22"/>
                <w:szCs w:val="22"/>
              </w:rPr>
              <w:t>% of PK-12 Students</w:t>
            </w:r>
          </w:p>
        </w:tc>
      </w:tr>
      <w:tr w:rsidR="00F76224" w:rsidRPr="00F76224" w:rsidTr="00F762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Belle Fourche 09-1            </w:t>
            </w:r>
          </w:p>
        </w:tc>
        <w:tc>
          <w:tcPr>
            <w:tcW w:w="2525"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205</w:t>
            </w:r>
          </w:p>
        </w:tc>
        <w:tc>
          <w:tcPr>
            <w:tcW w:w="3240"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15.19%</w:t>
            </w:r>
          </w:p>
        </w:tc>
      </w:tr>
      <w:tr w:rsidR="00F76224" w:rsidRPr="00F76224" w:rsidTr="00F76224">
        <w:trPr>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Bennett County 03-1           </w:t>
            </w:r>
          </w:p>
        </w:tc>
        <w:tc>
          <w:tcPr>
            <w:tcW w:w="2525" w:type="dxa"/>
            <w:noWrap/>
            <w:hideMark/>
          </w:tcPr>
          <w:p w:rsidR="00F76224" w:rsidRPr="00F76224" w:rsidRDefault="00F76224" w:rsidP="00F76224">
            <w:pPr>
              <w:jc w:val="right"/>
              <w:cnfStyle w:val="000000000000" w:firstRow="0" w:lastRow="0" w:firstColumn="0" w:lastColumn="0" w:oddVBand="0" w:evenVBand="0" w:oddHBand="0"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66</w:t>
            </w:r>
          </w:p>
        </w:tc>
        <w:tc>
          <w:tcPr>
            <w:tcW w:w="3240" w:type="dxa"/>
            <w:noWrap/>
            <w:hideMark/>
          </w:tcPr>
          <w:p w:rsidR="00F76224" w:rsidRPr="00F76224" w:rsidRDefault="00F76224" w:rsidP="00F76224">
            <w:pPr>
              <w:jc w:val="right"/>
              <w:cnfStyle w:val="000000000000" w:firstRow="0" w:lastRow="0" w:firstColumn="0" w:lastColumn="0" w:oddVBand="0" w:evenVBand="0" w:oddHBand="0"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13.20%</w:t>
            </w:r>
          </w:p>
        </w:tc>
      </w:tr>
      <w:tr w:rsidR="00F76224" w:rsidRPr="00F76224" w:rsidTr="00F762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Bison 52-1                    </w:t>
            </w:r>
          </w:p>
        </w:tc>
        <w:tc>
          <w:tcPr>
            <w:tcW w:w="2525"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19</w:t>
            </w:r>
          </w:p>
        </w:tc>
        <w:tc>
          <w:tcPr>
            <w:tcW w:w="3240"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12.84%</w:t>
            </w:r>
          </w:p>
        </w:tc>
      </w:tr>
      <w:tr w:rsidR="00F76224" w:rsidRPr="00F76224" w:rsidTr="00F76224">
        <w:trPr>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Harding County 31-1           </w:t>
            </w:r>
          </w:p>
        </w:tc>
        <w:tc>
          <w:tcPr>
            <w:tcW w:w="2525" w:type="dxa"/>
            <w:noWrap/>
            <w:hideMark/>
          </w:tcPr>
          <w:p w:rsidR="00F76224" w:rsidRPr="00F76224" w:rsidRDefault="00F76224" w:rsidP="00F76224">
            <w:pPr>
              <w:jc w:val="right"/>
              <w:cnfStyle w:val="000000000000" w:firstRow="0" w:lastRow="0" w:firstColumn="0" w:lastColumn="0" w:oddVBand="0" w:evenVBand="0" w:oddHBand="0"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23</w:t>
            </w:r>
          </w:p>
        </w:tc>
        <w:tc>
          <w:tcPr>
            <w:tcW w:w="3240" w:type="dxa"/>
            <w:noWrap/>
            <w:hideMark/>
          </w:tcPr>
          <w:p w:rsidR="00F76224" w:rsidRPr="00F76224" w:rsidRDefault="00F76224" w:rsidP="00F76224">
            <w:pPr>
              <w:jc w:val="right"/>
              <w:cnfStyle w:val="000000000000" w:firstRow="0" w:lastRow="0" w:firstColumn="0" w:lastColumn="0" w:oddVBand="0" w:evenVBand="0" w:oddHBand="0"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12.85%</w:t>
            </w:r>
          </w:p>
        </w:tc>
      </w:tr>
      <w:tr w:rsidR="00F76224" w:rsidRPr="00F76224" w:rsidTr="00F762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Lemmon 52-4                   </w:t>
            </w:r>
          </w:p>
        </w:tc>
        <w:tc>
          <w:tcPr>
            <w:tcW w:w="2525"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34</w:t>
            </w:r>
          </w:p>
        </w:tc>
        <w:tc>
          <w:tcPr>
            <w:tcW w:w="3240"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12.78%</w:t>
            </w:r>
          </w:p>
        </w:tc>
      </w:tr>
      <w:tr w:rsidR="00F76224" w:rsidRPr="00F76224" w:rsidTr="00F76224">
        <w:trPr>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Newell 09-2                   </w:t>
            </w:r>
          </w:p>
        </w:tc>
        <w:tc>
          <w:tcPr>
            <w:tcW w:w="2525" w:type="dxa"/>
            <w:noWrap/>
            <w:hideMark/>
          </w:tcPr>
          <w:p w:rsidR="00F76224" w:rsidRPr="00F76224" w:rsidRDefault="00F76224" w:rsidP="00F76224">
            <w:pPr>
              <w:jc w:val="right"/>
              <w:cnfStyle w:val="000000000000" w:firstRow="0" w:lastRow="0" w:firstColumn="0" w:lastColumn="0" w:oddVBand="0" w:evenVBand="0" w:oddHBand="0"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63</w:t>
            </w:r>
          </w:p>
        </w:tc>
        <w:tc>
          <w:tcPr>
            <w:tcW w:w="3240" w:type="dxa"/>
            <w:noWrap/>
            <w:hideMark/>
          </w:tcPr>
          <w:p w:rsidR="00F76224" w:rsidRPr="00F76224" w:rsidRDefault="00F76224" w:rsidP="00F76224">
            <w:pPr>
              <w:jc w:val="right"/>
              <w:cnfStyle w:val="000000000000" w:firstRow="0" w:lastRow="0" w:firstColumn="0" w:lastColumn="0" w:oddVBand="0" w:evenVBand="0" w:oddHBand="0"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18.21%</w:t>
            </w:r>
          </w:p>
        </w:tc>
      </w:tr>
      <w:tr w:rsidR="00F76224" w:rsidRPr="00F76224" w:rsidTr="00F7622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700" w:type="dxa"/>
            <w:noWrap/>
            <w:hideMark/>
          </w:tcPr>
          <w:p w:rsidR="00F76224" w:rsidRPr="00F76224" w:rsidRDefault="00F76224" w:rsidP="00F76224">
            <w:pPr>
              <w:rPr>
                <w:rFonts w:ascii="Ebrima" w:eastAsia="Times New Roman" w:hAnsi="Ebrima" w:cs="Arial"/>
                <w:color w:val="000000"/>
                <w:sz w:val="22"/>
                <w:szCs w:val="22"/>
              </w:rPr>
            </w:pPr>
            <w:r w:rsidRPr="00F76224">
              <w:rPr>
                <w:rFonts w:ascii="Ebrima" w:eastAsia="Times New Roman" w:hAnsi="Ebrima" w:cs="Arial"/>
                <w:color w:val="000000"/>
                <w:sz w:val="22"/>
                <w:szCs w:val="22"/>
              </w:rPr>
              <w:t xml:space="preserve">Shannon County 65-1           </w:t>
            </w:r>
          </w:p>
        </w:tc>
        <w:tc>
          <w:tcPr>
            <w:tcW w:w="2525"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318</w:t>
            </w:r>
          </w:p>
        </w:tc>
        <w:tc>
          <w:tcPr>
            <w:tcW w:w="3240" w:type="dxa"/>
            <w:noWrap/>
            <w:hideMark/>
          </w:tcPr>
          <w:p w:rsidR="00F76224" w:rsidRPr="00F76224" w:rsidRDefault="00F76224" w:rsidP="00F76224">
            <w:pPr>
              <w:jc w:val="right"/>
              <w:cnfStyle w:val="000000100000" w:firstRow="0" w:lastRow="0" w:firstColumn="0" w:lastColumn="0" w:oddVBand="0" w:evenVBand="0" w:oddHBand="1" w:evenHBand="0" w:firstRowFirstColumn="0" w:firstRowLastColumn="0" w:lastRowFirstColumn="0" w:lastRowLastColumn="0"/>
              <w:rPr>
                <w:rFonts w:ascii="Ebrima" w:eastAsia="Times New Roman" w:hAnsi="Ebrima" w:cs="Arial"/>
                <w:sz w:val="22"/>
                <w:szCs w:val="22"/>
              </w:rPr>
            </w:pPr>
            <w:r w:rsidRPr="00F76224">
              <w:rPr>
                <w:rFonts w:ascii="Ebrima" w:eastAsia="Times New Roman" w:hAnsi="Ebrima" w:cs="Arial"/>
                <w:sz w:val="22"/>
                <w:szCs w:val="22"/>
              </w:rPr>
              <w:t>21.72%</w:t>
            </w:r>
          </w:p>
        </w:tc>
      </w:tr>
    </w:tbl>
    <w:p w:rsidR="00DC2AB5" w:rsidRDefault="00C00616" w:rsidP="00167D5D">
      <w:pPr>
        <w:spacing w:line="480" w:lineRule="auto"/>
        <w:jc w:val="center"/>
        <w:rPr>
          <w:b/>
        </w:rPr>
      </w:pPr>
      <w:r w:rsidRPr="00C00616">
        <w:rPr>
          <w:b/>
        </w:rPr>
        <w:t>Figure 2.4</w:t>
      </w:r>
    </w:p>
    <w:p w:rsidR="00167D5D" w:rsidRPr="00167D5D" w:rsidRDefault="00167D5D" w:rsidP="00167D5D">
      <w:pPr>
        <w:spacing w:line="480" w:lineRule="auto"/>
        <w:jc w:val="center"/>
        <w:rPr>
          <w:b/>
        </w:rPr>
      </w:pPr>
    </w:p>
    <w:p w:rsidR="00FA4CED" w:rsidRDefault="00FA4CED" w:rsidP="00FA4CED">
      <w:pPr>
        <w:pStyle w:val="Heading1"/>
      </w:pPr>
      <w:bookmarkStart w:id="15" w:name="_Toc416269436"/>
      <w:bookmarkEnd w:id="13"/>
      <w:bookmarkEnd w:id="14"/>
      <w:r>
        <w:t>Education, Health, Nutrition, and Social Service Needs</w:t>
      </w:r>
      <w:bookmarkEnd w:id="15"/>
    </w:p>
    <w:p w:rsidR="00EE7CAF" w:rsidRDefault="00EE7CAF" w:rsidP="004E28C7">
      <w:pPr>
        <w:pStyle w:val="Heading2"/>
      </w:pPr>
      <w:bookmarkStart w:id="16" w:name="_Toc416269437"/>
      <w:r>
        <w:t>Education</w:t>
      </w:r>
      <w:bookmarkEnd w:id="16"/>
    </w:p>
    <w:p w:rsidR="004E28C7" w:rsidRDefault="004E28C7" w:rsidP="00280048">
      <w:pPr>
        <w:spacing w:line="480" w:lineRule="auto"/>
        <w:ind w:firstLine="720"/>
      </w:pPr>
      <w:r>
        <w:t xml:space="preserve">Education is an </w:t>
      </w:r>
      <w:r w:rsidR="008C32D8">
        <w:t>important</w:t>
      </w:r>
      <w:r>
        <w:t xml:space="preserve"> piece of the holistic programming offered by TREC – Badlands Head Start. A sound education for children in our service area will prepare them for success later on in life. In addition, quality education programming as a result of Head Start attendance can better prepare our children for the successful transition into the K-12 education world.</w:t>
      </w:r>
      <w:r w:rsidR="00E71A8B">
        <w:t xml:space="preserve"> Currently, Head Start and Early Head Start programs offer a well-rounded curriculum to develop the whole </w:t>
      </w:r>
      <w:r w:rsidR="00F9634E">
        <w:t>child</w:t>
      </w:r>
      <w:r w:rsidR="00E71A8B">
        <w:t xml:space="preserve"> as well as empower the families in a variety of ways. </w:t>
      </w:r>
      <w:r w:rsidR="00F9634E">
        <w:t xml:space="preserve"> This section shall focus on how TREC develops our children and </w:t>
      </w:r>
      <w:r w:rsidR="00163335">
        <w:t>families, strengths in</w:t>
      </w:r>
      <w:r w:rsidR="00F9634E">
        <w:t xml:space="preserve"> program areas, and work that needs to be done.</w:t>
      </w:r>
    </w:p>
    <w:p w:rsidR="00587206" w:rsidRDefault="00587206" w:rsidP="00587206">
      <w:pPr>
        <w:pStyle w:val="Heading3"/>
      </w:pPr>
      <w:bookmarkStart w:id="17" w:name="_Toc416269438"/>
      <w:r>
        <w:lastRenderedPageBreak/>
        <w:t>Head Start/Early Head Start Assessments</w:t>
      </w:r>
      <w:bookmarkEnd w:id="17"/>
    </w:p>
    <w:p w:rsidR="004C4D70" w:rsidRDefault="00163077" w:rsidP="00280048">
      <w:pPr>
        <w:spacing w:line="480" w:lineRule="auto"/>
        <w:ind w:firstLine="720"/>
      </w:pPr>
      <w:r>
        <w:t>TREC – Badlands Head Start utilizes the Teaching Strategies GOLD platform to conduct educational assessments on our students. The data has proven to be invaluable when considering individualization, setting program goals, and ensuring that we are meeting goals set for school readiness. This year was no exception. Mathematics and Literacy are constant areas of focus</w:t>
      </w:r>
      <w:r w:rsidR="00270734">
        <w:t>. Children need a solid foundation when it comes to these subject areas. As we analyzed the GOLD data at a program level, some patterns started to emerge in the data.</w:t>
      </w:r>
      <w:r w:rsidR="004C4D70">
        <w:t xml:space="preserve"> TS GOLD aggregation data</w:t>
      </w:r>
      <w:r w:rsidR="00270734">
        <w:t xml:space="preserve"> </w:t>
      </w:r>
      <w:r w:rsidR="00167D5D">
        <w:t>is available for viewing in Appendix A</w:t>
      </w:r>
    </w:p>
    <w:p w:rsidR="00F75587" w:rsidRDefault="00270734" w:rsidP="00280048">
      <w:pPr>
        <w:spacing w:line="480" w:lineRule="auto"/>
        <w:ind w:firstLine="720"/>
      </w:pPr>
      <w:r>
        <w:t xml:space="preserve">First, for the vast majority of ‘widely held expectations’ the children at TREC – BHS are meeting </w:t>
      </w:r>
      <w:r w:rsidR="0062275F">
        <w:t>expectations</w:t>
      </w:r>
      <w:r>
        <w:t xml:space="preserve">. However, they are meeting expectations in the lower quartiles. In addition, for 1 to 2 year olds, TREC – BHS did not meet expectations. </w:t>
      </w:r>
      <w:r w:rsidR="0062275F">
        <w:t xml:space="preserve">The data from TS GOLD tell us a few important things. First, although we meet expectations in many of the categories listed (e.g., social emotional, language, etc.) there is significant room to grow. In addition to growing as a program, the overall trend in the GOLD data is that curricular standards as a whole need careful attention and strengthening. Third, the data for 1 – 2 year olds not meeting expectations is especially troubling. TREC must focus on the individual students and prepare them for successful transition into the Head Start classroom or home-based setting. This can be done by individualizing lessons for our children and families. </w:t>
      </w:r>
    </w:p>
    <w:p w:rsidR="00F75587" w:rsidRDefault="0062275F" w:rsidP="00280048">
      <w:pPr>
        <w:spacing w:line="480" w:lineRule="auto"/>
        <w:ind w:firstLine="720"/>
      </w:pPr>
      <w:r>
        <w:t xml:space="preserve">It is also important to recognize the role of the parent in these activities. Education, often times, starts in the home with a parent as the primary instructor of the child. Simple and meaningful activities can be used in the home to bring children up to speed. </w:t>
      </w:r>
    </w:p>
    <w:p w:rsidR="00163077" w:rsidRDefault="0062275F" w:rsidP="00280048">
      <w:pPr>
        <w:spacing w:line="480" w:lineRule="auto"/>
        <w:ind w:firstLine="720"/>
      </w:pPr>
      <w:r>
        <w:t xml:space="preserve">All in all, TREC’s data show we are not missing the boat in terms of educating the children we serve. However, it is abundantly clear that we can and will do a better job in the future. </w:t>
      </w:r>
      <w:r w:rsidR="007D65D0">
        <w:t>When one digs deeper into the data, the notion of individualization becomes that much more important. In fact, as a program</w:t>
      </w:r>
      <w:r w:rsidR="006C55EA">
        <w:t xml:space="preserve"> students in every age group had some deficient students in every category (e.g., Social Emotional, Physical, </w:t>
      </w:r>
      <w:r w:rsidR="004C4D70">
        <w:t>Cognitive</w:t>
      </w:r>
      <w:r w:rsidR="006C55EA">
        <w:t xml:space="preserve">, Language, </w:t>
      </w:r>
      <w:r w:rsidR="004C4D70">
        <w:t>Literary</w:t>
      </w:r>
      <w:r w:rsidR="006C55EA">
        <w:t>, and Mathematics). Simply put, there is more growth that can be attained.</w:t>
      </w:r>
    </w:p>
    <w:p w:rsidR="00587206" w:rsidRDefault="00587206" w:rsidP="00587206">
      <w:pPr>
        <w:pStyle w:val="Heading3"/>
      </w:pPr>
      <w:bookmarkStart w:id="18" w:name="_Toc416269439"/>
      <w:r>
        <w:lastRenderedPageBreak/>
        <w:t>Early Childhood’s Importance in K-12 (Preparation and Transition)</w:t>
      </w:r>
      <w:bookmarkEnd w:id="18"/>
    </w:p>
    <w:p w:rsidR="006C55EA" w:rsidRDefault="006C55EA" w:rsidP="00280048">
      <w:pPr>
        <w:spacing w:line="480" w:lineRule="auto"/>
        <w:ind w:firstLine="720"/>
      </w:pPr>
      <w:r>
        <w:t>Bridging the gap from Early Childhood to the K-12 environment, emphasis on the aforementioned skills becomes paramount in terms of relative importance. We shall highlight below, by using K-12 assessment data, how important our impact on learners in Early Childhood really is.</w:t>
      </w:r>
    </w:p>
    <w:p w:rsidR="00C13EC7" w:rsidRDefault="006C55EA" w:rsidP="00280048">
      <w:pPr>
        <w:spacing w:line="480" w:lineRule="auto"/>
        <w:ind w:firstLine="720"/>
      </w:pPr>
      <w:r>
        <w:t>Taking a look at</w:t>
      </w:r>
      <w:r w:rsidR="00703692">
        <w:t xml:space="preserve"> the data below, students taking the third grade assessment</w:t>
      </w:r>
      <w:r w:rsidR="00B33D01">
        <w:t xml:space="preserve"> did fairly well in the areas of Reading and Mathematics. There are, however, a number of students in TREC’s service are who are not meeting proficiency levels in the aforementioned subject areas.</w:t>
      </w:r>
      <w:r w:rsidR="00F9634E">
        <w:t xml:space="preserve"> While a student should not be judged solely on the basis of one summative assessment, it is imperative to consider these data as they are telling of transition efforts and preparation. </w:t>
      </w:r>
      <w:r w:rsidR="00B33D01">
        <w:t xml:space="preserve"> </w:t>
      </w:r>
      <w:r w:rsidR="00F9634E">
        <w:t>This</w:t>
      </w:r>
      <w:r w:rsidR="0063038E">
        <w:t xml:space="preserve"> makes our job in Early Childhood even more critical.</w:t>
      </w:r>
      <w:r w:rsidR="00C13EC7">
        <w:t xml:space="preserve"> </w:t>
      </w:r>
    </w:p>
    <w:p w:rsidR="00DC2AB5" w:rsidRDefault="0063038E" w:rsidP="00380DC1">
      <w:pPr>
        <w:spacing w:line="480" w:lineRule="auto"/>
      </w:pPr>
      <w:r>
        <w:t>Various research</w:t>
      </w:r>
      <w:r w:rsidR="00640B52">
        <w:t xml:space="preserve"> studies have</w:t>
      </w:r>
      <w:r>
        <w:t xml:space="preserve"> shown that proficiency in key areas of learning </w:t>
      </w:r>
      <w:r w:rsidR="00F76224">
        <w:t>(e.g., reading and math) during</w:t>
      </w:r>
      <w:r>
        <w:t xml:space="preserve"> early grades is paramount to success further on in a student’s academic career. </w:t>
      </w:r>
      <w:r w:rsidR="00640B52">
        <w:t>Assessment data aside from 3</w:t>
      </w:r>
      <w:r w:rsidR="00640B52" w:rsidRPr="00640B52">
        <w:rPr>
          <w:vertAlign w:val="superscript"/>
        </w:rPr>
        <w:t>rd</w:t>
      </w:r>
      <w:r w:rsidR="00640B52">
        <w:t xml:space="preserve"> grade Reading and Mathematics proficiency is u</w:t>
      </w:r>
      <w:r w:rsidR="00C00616">
        <w:t>navailable at the current time.</w:t>
      </w:r>
    </w:p>
    <w:p w:rsidR="003667D7" w:rsidRPr="00703692" w:rsidRDefault="003667D7" w:rsidP="003667D7">
      <w:pPr>
        <w:pStyle w:val="ListParagraph"/>
        <w:ind w:left="1080"/>
        <w:jc w:val="center"/>
        <w:rPr>
          <w:b/>
          <w:sz w:val="22"/>
          <w:u w:val="single"/>
        </w:rPr>
      </w:pPr>
      <w:r w:rsidRPr="00703692">
        <w:rPr>
          <w:b/>
          <w:sz w:val="22"/>
          <w:u w:val="single"/>
        </w:rPr>
        <w:t>2012 – 2013 Accountability Results</w:t>
      </w:r>
      <w:r w:rsidRPr="00703692">
        <w:rPr>
          <w:rStyle w:val="FootnoteReference"/>
          <w:b/>
          <w:sz w:val="22"/>
          <w:u w:val="single"/>
        </w:rPr>
        <w:footnoteReference w:id="3"/>
      </w:r>
    </w:p>
    <w:tbl>
      <w:tblPr>
        <w:tblStyle w:val="MediumShading2-Accent1"/>
        <w:tblW w:w="9376" w:type="dxa"/>
        <w:jc w:val="center"/>
        <w:tblInd w:w="-358" w:type="dxa"/>
        <w:tblLook w:val="04A0" w:firstRow="1" w:lastRow="0" w:firstColumn="1" w:lastColumn="0" w:noHBand="0" w:noVBand="1"/>
      </w:tblPr>
      <w:tblGrid>
        <w:gridCol w:w="1880"/>
        <w:gridCol w:w="2458"/>
        <w:gridCol w:w="772"/>
        <w:gridCol w:w="1118"/>
        <w:gridCol w:w="720"/>
        <w:gridCol w:w="810"/>
        <w:gridCol w:w="720"/>
        <w:gridCol w:w="898"/>
      </w:tblGrid>
      <w:tr w:rsidR="00041A56" w:rsidRPr="00041A56" w:rsidTr="00703692">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100" w:firstRow="0" w:lastRow="0" w:firstColumn="1" w:lastColumn="0" w:oddVBand="0" w:evenVBand="0" w:oddHBand="0" w:evenHBand="0" w:firstRowFirstColumn="1" w:firstRowLastColumn="0" w:lastRowFirstColumn="0" w:lastRowLastColumn="0"/>
            <w:tcW w:w="1880" w:type="dxa"/>
            <w:noWrap/>
            <w:hideMark/>
          </w:tcPr>
          <w:p w:rsidR="00041A56" w:rsidRPr="00041A56" w:rsidRDefault="00041A56"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District Name</w:t>
            </w:r>
          </w:p>
        </w:tc>
        <w:tc>
          <w:tcPr>
            <w:tcW w:w="2458" w:type="dxa"/>
            <w:noWrap/>
            <w:hideMark/>
          </w:tcPr>
          <w:p w:rsidR="00041A56" w:rsidRPr="00041A56" w:rsidRDefault="00041A56"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School Name</w:t>
            </w:r>
          </w:p>
        </w:tc>
        <w:tc>
          <w:tcPr>
            <w:tcW w:w="772" w:type="dxa"/>
            <w:noWrap/>
            <w:hideMark/>
          </w:tcPr>
          <w:p w:rsidR="00041A56" w:rsidRPr="00041A56" w:rsidRDefault="00041A56"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Grade</w:t>
            </w:r>
          </w:p>
        </w:tc>
        <w:tc>
          <w:tcPr>
            <w:tcW w:w="1118" w:type="dxa"/>
            <w:hideMark/>
          </w:tcPr>
          <w:p w:rsidR="00041A56" w:rsidRPr="00041A56" w:rsidRDefault="00244030"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Subject</w:t>
            </w:r>
          </w:p>
        </w:tc>
        <w:tc>
          <w:tcPr>
            <w:tcW w:w="720" w:type="dxa"/>
            <w:noWrap/>
            <w:hideMark/>
          </w:tcPr>
          <w:p w:rsidR="00041A56" w:rsidRPr="00041A56" w:rsidRDefault="00041A56"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roofErr w:type="spellStart"/>
            <w:r w:rsidRPr="00041A56">
              <w:rPr>
                <w:rFonts w:ascii="Calibri" w:eastAsia="Times New Roman" w:hAnsi="Calibri" w:cs="Calibri"/>
                <w:color w:val="000000"/>
                <w:sz w:val="22"/>
                <w:szCs w:val="22"/>
              </w:rPr>
              <w:t>Adv</w:t>
            </w:r>
            <w:proofErr w:type="spellEnd"/>
          </w:p>
        </w:tc>
        <w:tc>
          <w:tcPr>
            <w:tcW w:w="810" w:type="dxa"/>
            <w:hideMark/>
          </w:tcPr>
          <w:p w:rsidR="00041A56" w:rsidRPr="00041A56" w:rsidRDefault="00041A56"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Prof</w:t>
            </w:r>
          </w:p>
        </w:tc>
        <w:tc>
          <w:tcPr>
            <w:tcW w:w="720" w:type="dxa"/>
            <w:noWrap/>
            <w:hideMark/>
          </w:tcPr>
          <w:p w:rsidR="00041A56" w:rsidRPr="00041A56" w:rsidRDefault="00041A56"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Basic</w:t>
            </w:r>
          </w:p>
        </w:tc>
        <w:tc>
          <w:tcPr>
            <w:tcW w:w="898" w:type="dxa"/>
            <w:hideMark/>
          </w:tcPr>
          <w:p w:rsidR="00041A56" w:rsidRPr="00041A56" w:rsidRDefault="00041A56" w:rsidP="00041A56">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Below Basic</w:t>
            </w:r>
          </w:p>
        </w:tc>
      </w:tr>
      <w:tr w:rsidR="00703692"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041A56" w:rsidRPr="00041A56" w:rsidRDefault="00041A56"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Bennett County </w:t>
            </w:r>
          </w:p>
        </w:tc>
        <w:tc>
          <w:tcPr>
            <w:tcW w:w="2458" w:type="dxa"/>
            <w:noWrap/>
            <w:hideMark/>
          </w:tcPr>
          <w:p w:rsidR="00041A56" w:rsidRPr="00041A56" w:rsidRDefault="00703692"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Martin Elem </w:t>
            </w:r>
            <w:r w:rsidR="00041A56" w:rsidRPr="00041A56">
              <w:rPr>
                <w:rFonts w:ascii="Calibri" w:eastAsia="Times New Roman" w:hAnsi="Calibri" w:cs="Calibri"/>
                <w:color w:val="000000"/>
                <w:sz w:val="22"/>
                <w:szCs w:val="22"/>
              </w:rPr>
              <w:t xml:space="preserve">         </w:t>
            </w:r>
          </w:p>
        </w:tc>
        <w:tc>
          <w:tcPr>
            <w:tcW w:w="772" w:type="dxa"/>
            <w:noWrap/>
            <w:hideMark/>
          </w:tcPr>
          <w:p w:rsidR="00041A56" w:rsidRPr="00041A56" w:rsidRDefault="00041A56"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041A56"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Reading</w:t>
            </w:r>
          </w:p>
        </w:tc>
        <w:tc>
          <w:tcPr>
            <w:tcW w:w="720" w:type="dxa"/>
            <w:noWrap/>
            <w:hideMark/>
          </w:tcPr>
          <w:p w:rsidR="00041A56" w:rsidRPr="00041A56" w:rsidRDefault="00041A56"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22</w:t>
            </w:r>
            <w:r w:rsidR="003667D7">
              <w:rPr>
                <w:rFonts w:ascii="Calibri" w:eastAsia="Times New Roman" w:hAnsi="Calibri" w:cs="Calibri"/>
                <w:color w:val="000000"/>
                <w:sz w:val="22"/>
                <w:szCs w:val="22"/>
              </w:rPr>
              <w:t>%</w:t>
            </w:r>
          </w:p>
        </w:tc>
        <w:tc>
          <w:tcPr>
            <w:tcW w:w="810" w:type="dxa"/>
            <w:noWrap/>
            <w:hideMark/>
          </w:tcPr>
          <w:p w:rsidR="00041A56" w:rsidRPr="00041A56" w:rsidRDefault="00041A56"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46</w:t>
            </w:r>
            <w:r w:rsidR="003667D7">
              <w:rPr>
                <w:rFonts w:ascii="Calibri" w:eastAsia="Times New Roman" w:hAnsi="Calibri" w:cs="Calibri"/>
                <w:color w:val="000000"/>
                <w:sz w:val="22"/>
                <w:szCs w:val="22"/>
              </w:rPr>
              <w:t>%</w:t>
            </w:r>
          </w:p>
        </w:tc>
        <w:tc>
          <w:tcPr>
            <w:tcW w:w="720" w:type="dxa"/>
            <w:noWrap/>
            <w:hideMark/>
          </w:tcPr>
          <w:p w:rsidR="00041A56" w:rsidRPr="00041A56" w:rsidRDefault="00041A56"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32</w:t>
            </w:r>
            <w:r w:rsidR="003757B0">
              <w:rPr>
                <w:rFonts w:ascii="Calibri" w:eastAsia="Times New Roman" w:hAnsi="Calibri" w:cs="Calibri"/>
                <w:color w:val="000000"/>
                <w:sz w:val="22"/>
                <w:szCs w:val="22"/>
              </w:rPr>
              <w:t>%</w:t>
            </w:r>
          </w:p>
        </w:tc>
        <w:tc>
          <w:tcPr>
            <w:tcW w:w="898" w:type="dxa"/>
            <w:noWrap/>
            <w:hideMark/>
          </w:tcPr>
          <w:p w:rsidR="00041A56" w:rsidRPr="00041A56" w:rsidRDefault="00041A56"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sidR="00F2622C">
              <w:rPr>
                <w:rFonts w:ascii="Calibri" w:eastAsia="Times New Roman" w:hAnsi="Calibri" w:cs="Calibri"/>
                <w:color w:val="000000"/>
                <w:sz w:val="22"/>
                <w:szCs w:val="22"/>
              </w:rPr>
              <w:t>%</w:t>
            </w:r>
          </w:p>
        </w:tc>
      </w:tr>
      <w:tr w:rsidR="00244030"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244030" w:rsidRPr="00244030" w:rsidRDefault="00244030" w:rsidP="006935E2">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Bennett County </w:t>
            </w:r>
          </w:p>
        </w:tc>
        <w:tc>
          <w:tcPr>
            <w:tcW w:w="2458" w:type="dxa"/>
            <w:noWrap/>
          </w:tcPr>
          <w:p w:rsidR="00244030" w:rsidRPr="00244030" w:rsidRDefault="00703692" w:rsidP="00E070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Martin Elem </w:t>
            </w:r>
            <w:r w:rsidR="00244030" w:rsidRPr="00244030">
              <w:rPr>
                <w:rFonts w:ascii="Calibri" w:eastAsia="Times New Roman" w:hAnsi="Calibri" w:cs="Calibri"/>
                <w:color w:val="000000"/>
                <w:sz w:val="22"/>
                <w:szCs w:val="22"/>
              </w:rPr>
              <w:t xml:space="preserve">         </w:t>
            </w:r>
          </w:p>
        </w:tc>
        <w:tc>
          <w:tcPr>
            <w:tcW w:w="772" w:type="dxa"/>
            <w:noWrap/>
          </w:tcPr>
          <w:p w:rsidR="00244030" w:rsidRPr="00244030" w:rsidRDefault="00244030"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12</w:t>
            </w:r>
            <w:r w:rsidR="003757B0">
              <w:rPr>
                <w:rFonts w:ascii="Calibri" w:eastAsia="Times New Roman" w:hAnsi="Calibri" w:cs="Calibri"/>
                <w:color w:val="000000"/>
                <w:sz w:val="22"/>
                <w:szCs w:val="22"/>
              </w:rPr>
              <w:t>%</w:t>
            </w:r>
          </w:p>
        </w:tc>
        <w:tc>
          <w:tcPr>
            <w:tcW w:w="810" w:type="dxa"/>
            <w:noWrap/>
          </w:tcPr>
          <w:p w:rsidR="003757B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59</w:t>
            </w:r>
            <w:r w:rsidR="003757B0">
              <w:rPr>
                <w:rFonts w:ascii="Calibri" w:eastAsia="Times New Roman" w:hAnsi="Calibri" w:cs="Calibri"/>
                <w:color w:val="000000"/>
                <w:sz w:val="22"/>
                <w:szCs w:val="22"/>
              </w:rPr>
              <w:t>%</w:t>
            </w:r>
          </w:p>
        </w:tc>
        <w:tc>
          <w:tcPr>
            <w:tcW w:w="720"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29</w:t>
            </w:r>
            <w:r w:rsidR="003757B0">
              <w:rPr>
                <w:rFonts w:ascii="Calibri" w:eastAsia="Times New Roman" w:hAnsi="Calibri" w:cs="Calibri"/>
                <w:color w:val="000000"/>
                <w:sz w:val="22"/>
                <w:szCs w:val="22"/>
              </w:rPr>
              <w:t>%</w:t>
            </w:r>
          </w:p>
        </w:tc>
        <w:tc>
          <w:tcPr>
            <w:tcW w:w="898"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0</w:t>
            </w:r>
            <w:r w:rsidR="00F2622C">
              <w:rPr>
                <w:rFonts w:ascii="Calibri" w:eastAsia="Times New Roman" w:hAnsi="Calibri" w:cs="Calibri"/>
                <w:color w:val="000000"/>
                <w:sz w:val="22"/>
                <w:szCs w:val="22"/>
              </w:rPr>
              <w:t>%</w:t>
            </w:r>
          </w:p>
        </w:tc>
      </w:tr>
      <w:tr w:rsidR="00703692"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244030" w:rsidRPr="00041A56" w:rsidRDefault="00244030"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Belle Fourche </w:t>
            </w:r>
          </w:p>
        </w:tc>
        <w:tc>
          <w:tcPr>
            <w:tcW w:w="2458" w:type="dxa"/>
            <w:noWrap/>
            <w:hideMark/>
          </w:tcPr>
          <w:p w:rsidR="00244030" w:rsidRPr="00041A56" w:rsidRDefault="00703692"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South Park Elem</w:t>
            </w:r>
            <w:r w:rsidR="00244030" w:rsidRPr="00041A56">
              <w:rPr>
                <w:rFonts w:ascii="Calibri" w:eastAsia="Times New Roman" w:hAnsi="Calibri" w:cs="Calibri"/>
                <w:color w:val="000000"/>
                <w:sz w:val="22"/>
                <w:szCs w:val="22"/>
              </w:rPr>
              <w:t xml:space="preserve">     </w:t>
            </w:r>
          </w:p>
        </w:tc>
        <w:tc>
          <w:tcPr>
            <w:tcW w:w="772" w:type="dxa"/>
            <w:noWrap/>
            <w:hideMark/>
          </w:tcPr>
          <w:p w:rsidR="00244030" w:rsidRPr="00041A56" w:rsidRDefault="00244030"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244030" w:rsidRDefault="00244030"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22</w:t>
            </w:r>
            <w:r w:rsidR="003757B0">
              <w:rPr>
                <w:rFonts w:ascii="Calibri" w:eastAsia="Times New Roman" w:hAnsi="Calibri" w:cs="Calibri"/>
                <w:color w:val="000000"/>
                <w:sz w:val="22"/>
                <w:szCs w:val="22"/>
              </w:rPr>
              <w:t>%</w:t>
            </w:r>
          </w:p>
        </w:tc>
        <w:tc>
          <w:tcPr>
            <w:tcW w:w="810"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50</w:t>
            </w:r>
            <w:r w:rsidR="003757B0">
              <w:rPr>
                <w:rFonts w:ascii="Calibri" w:eastAsia="Times New Roman" w:hAnsi="Calibri" w:cs="Calibri"/>
                <w:color w:val="000000"/>
                <w:sz w:val="22"/>
                <w:szCs w:val="22"/>
              </w:rPr>
              <w:t>%</w:t>
            </w:r>
          </w:p>
        </w:tc>
        <w:tc>
          <w:tcPr>
            <w:tcW w:w="720"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28</w:t>
            </w:r>
            <w:r w:rsidR="003757B0">
              <w:rPr>
                <w:rFonts w:ascii="Calibri" w:eastAsia="Times New Roman" w:hAnsi="Calibri" w:cs="Calibri"/>
                <w:color w:val="000000"/>
                <w:sz w:val="22"/>
                <w:szCs w:val="22"/>
              </w:rPr>
              <w:t>%</w:t>
            </w:r>
          </w:p>
        </w:tc>
        <w:tc>
          <w:tcPr>
            <w:tcW w:w="898"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sidR="00F2622C">
              <w:rPr>
                <w:rFonts w:ascii="Calibri" w:eastAsia="Times New Roman" w:hAnsi="Calibri" w:cs="Calibri"/>
                <w:color w:val="000000"/>
                <w:sz w:val="22"/>
                <w:szCs w:val="22"/>
              </w:rPr>
              <w:t>%</w:t>
            </w:r>
          </w:p>
        </w:tc>
      </w:tr>
      <w:tr w:rsidR="00244030"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244030" w:rsidRPr="00244030" w:rsidRDefault="00244030"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Belle Fourche </w:t>
            </w:r>
          </w:p>
        </w:tc>
        <w:tc>
          <w:tcPr>
            <w:tcW w:w="2458" w:type="dxa"/>
            <w:noWrap/>
          </w:tcPr>
          <w:p w:rsidR="00244030" w:rsidRPr="00244030" w:rsidRDefault="00703692"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South Park Elem </w:t>
            </w:r>
            <w:r w:rsidR="00244030" w:rsidRPr="00244030">
              <w:rPr>
                <w:rFonts w:ascii="Calibri" w:eastAsia="Times New Roman" w:hAnsi="Calibri" w:cs="Calibri"/>
                <w:color w:val="000000"/>
                <w:sz w:val="22"/>
                <w:szCs w:val="22"/>
              </w:rPr>
              <w:t xml:space="preserve">  </w:t>
            </w:r>
          </w:p>
        </w:tc>
        <w:tc>
          <w:tcPr>
            <w:tcW w:w="772" w:type="dxa"/>
            <w:noWrap/>
          </w:tcPr>
          <w:p w:rsidR="00244030" w:rsidRPr="00244030" w:rsidRDefault="00244030"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13</w:t>
            </w:r>
            <w:r w:rsidR="003757B0">
              <w:rPr>
                <w:rFonts w:ascii="Calibri" w:eastAsia="Times New Roman" w:hAnsi="Calibri" w:cs="Calibri"/>
                <w:color w:val="000000"/>
                <w:sz w:val="22"/>
                <w:szCs w:val="22"/>
              </w:rPr>
              <w:t>%</w:t>
            </w:r>
          </w:p>
        </w:tc>
        <w:tc>
          <w:tcPr>
            <w:tcW w:w="810"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59</w:t>
            </w:r>
            <w:r w:rsidR="003757B0">
              <w:rPr>
                <w:rFonts w:ascii="Calibri" w:eastAsia="Times New Roman" w:hAnsi="Calibri" w:cs="Calibri"/>
                <w:color w:val="000000"/>
                <w:sz w:val="22"/>
                <w:szCs w:val="22"/>
              </w:rPr>
              <w:t>%</w:t>
            </w:r>
          </w:p>
        </w:tc>
        <w:tc>
          <w:tcPr>
            <w:tcW w:w="720"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28</w:t>
            </w:r>
            <w:r w:rsidR="003757B0">
              <w:rPr>
                <w:rFonts w:ascii="Calibri" w:eastAsia="Times New Roman" w:hAnsi="Calibri" w:cs="Calibri"/>
                <w:color w:val="000000"/>
                <w:sz w:val="22"/>
                <w:szCs w:val="22"/>
              </w:rPr>
              <w:t>%</w:t>
            </w:r>
          </w:p>
        </w:tc>
        <w:tc>
          <w:tcPr>
            <w:tcW w:w="898" w:type="dxa"/>
            <w:noWrap/>
          </w:tcPr>
          <w:p w:rsidR="00244030" w:rsidRPr="00244030" w:rsidRDefault="00244030"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0</w:t>
            </w:r>
            <w:r w:rsidR="00F2622C">
              <w:rPr>
                <w:rFonts w:ascii="Calibri" w:eastAsia="Times New Roman" w:hAnsi="Calibri" w:cs="Calibri"/>
                <w:color w:val="000000"/>
                <w:sz w:val="22"/>
                <w:szCs w:val="22"/>
              </w:rPr>
              <w:t>%</w:t>
            </w:r>
          </w:p>
        </w:tc>
      </w:tr>
      <w:tr w:rsidR="00703692"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244030" w:rsidRPr="00041A56" w:rsidRDefault="00244030"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Harding County </w:t>
            </w:r>
          </w:p>
        </w:tc>
        <w:tc>
          <w:tcPr>
            <w:tcW w:w="2458" w:type="dxa"/>
            <w:noWrap/>
            <w:hideMark/>
          </w:tcPr>
          <w:p w:rsidR="00244030" w:rsidRPr="00041A56" w:rsidRDefault="00703692"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Buffalo Elem </w:t>
            </w:r>
            <w:r w:rsidR="00244030" w:rsidRPr="00041A56">
              <w:rPr>
                <w:rFonts w:ascii="Calibri" w:eastAsia="Times New Roman" w:hAnsi="Calibri" w:cs="Calibri"/>
                <w:color w:val="000000"/>
                <w:sz w:val="22"/>
                <w:szCs w:val="22"/>
              </w:rPr>
              <w:t xml:space="preserve">        </w:t>
            </w:r>
          </w:p>
        </w:tc>
        <w:tc>
          <w:tcPr>
            <w:tcW w:w="772" w:type="dxa"/>
            <w:noWrap/>
            <w:hideMark/>
          </w:tcPr>
          <w:p w:rsidR="00244030" w:rsidRPr="00041A56" w:rsidRDefault="00244030"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244030" w:rsidRDefault="00244030"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r w:rsidR="00716BA6">
              <w:rPr>
                <w:rStyle w:val="FootnoteReference"/>
                <w:rFonts w:ascii="Calibri" w:eastAsia="Times New Roman" w:hAnsi="Calibri" w:cs="Calibri"/>
                <w:color w:val="000000"/>
                <w:sz w:val="22"/>
                <w:szCs w:val="22"/>
              </w:rPr>
              <w:footnoteReference w:id="4"/>
            </w:r>
          </w:p>
        </w:tc>
        <w:tc>
          <w:tcPr>
            <w:tcW w:w="810"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720"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98" w:type="dxa"/>
            <w:noWrap/>
            <w:hideMark/>
          </w:tcPr>
          <w:p w:rsidR="00244030" w:rsidRPr="00041A56" w:rsidRDefault="00244030"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r>
      <w:tr w:rsidR="00703692"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6935E2" w:rsidRPr="00244030" w:rsidRDefault="006935E2" w:rsidP="006935E2">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Harding County </w:t>
            </w:r>
          </w:p>
        </w:tc>
        <w:tc>
          <w:tcPr>
            <w:tcW w:w="2458" w:type="dxa"/>
            <w:noWrap/>
          </w:tcPr>
          <w:p w:rsidR="006935E2" w:rsidRPr="00244030" w:rsidRDefault="00703692" w:rsidP="00E070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Buffalo Elem </w:t>
            </w:r>
            <w:r w:rsidR="006935E2" w:rsidRPr="00244030">
              <w:rPr>
                <w:rFonts w:ascii="Calibri" w:eastAsia="Times New Roman" w:hAnsi="Calibri" w:cs="Calibri"/>
                <w:color w:val="000000"/>
                <w:sz w:val="22"/>
                <w:szCs w:val="22"/>
              </w:rPr>
              <w:t xml:space="preserve">        </w:t>
            </w:r>
          </w:p>
        </w:tc>
        <w:tc>
          <w:tcPr>
            <w:tcW w:w="772" w:type="dxa"/>
            <w:noWrap/>
          </w:tcPr>
          <w:p w:rsidR="006935E2" w:rsidRPr="00244030" w:rsidRDefault="006935E2"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6935E2" w:rsidRPr="00244030" w:rsidRDefault="006935E2"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6935E2" w:rsidRPr="00041A56" w:rsidRDefault="006935E2"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10" w:type="dxa"/>
            <w:noWrap/>
          </w:tcPr>
          <w:p w:rsidR="006935E2" w:rsidRPr="00041A56" w:rsidRDefault="006935E2"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720" w:type="dxa"/>
            <w:noWrap/>
          </w:tcPr>
          <w:p w:rsidR="006935E2" w:rsidRPr="00041A56" w:rsidRDefault="006935E2"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98" w:type="dxa"/>
            <w:noWrap/>
          </w:tcPr>
          <w:p w:rsidR="006935E2" w:rsidRPr="00041A56" w:rsidRDefault="006935E2"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r>
      <w:tr w:rsidR="00703692"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6935E2" w:rsidRPr="00041A56" w:rsidRDefault="006935E2"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Harding County </w:t>
            </w:r>
          </w:p>
        </w:tc>
        <w:tc>
          <w:tcPr>
            <w:tcW w:w="2458" w:type="dxa"/>
            <w:noWrap/>
            <w:hideMark/>
          </w:tcPr>
          <w:p w:rsidR="006935E2" w:rsidRPr="00041A56" w:rsidRDefault="00703692"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Camp Crook Elem </w:t>
            </w:r>
            <w:r w:rsidR="006935E2" w:rsidRPr="00041A56">
              <w:rPr>
                <w:rFonts w:ascii="Calibri" w:eastAsia="Times New Roman" w:hAnsi="Calibri" w:cs="Calibri"/>
                <w:color w:val="000000"/>
                <w:sz w:val="22"/>
                <w:szCs w:val="22"/>
              </w:rPr>
              <w:t xml:space="preserve">     </w:t>
            </w:r>
          </w:p>
        </w:tc>
        <w:tc>
          <w:tcPr>
            <w:tcW w:w="772" w:type="dxa"/>
            <w:noWrap/>
            <w:hideMark/>
          </w:tcPr>
          <w:p w:rsidR="006935E2" w:rsidRPr="00041A56" w:rsidRDefault="006935E2"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6935E2" w:rsidRDefault="006935E2"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6935E2" w:rsidRPr="00041A56" w:rsidRDefault="006935E2"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10" w:type="dxa"/>
            <w:noWrap/>
            <w:hideMark/>
          </w:tcPr>
          <w:p w:rsidR="006935E2" w:rsidRPr="00041A56" w:rsidRDefault="006935E2"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720" w:type="dxa"/>
            <w:noWrap/>
            <w:hideMark/>
          </w:tcPr>
          <w:p w:rsidR="006935E2" w:rsidRPr="00041A56" w:rsidRDefault="006935E2"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98" w:type="dxa"/>
            <w:noWrap/>
            <w:hideMark/>
          </w:tcPr>
          <w:p w:rsidR="006935E2" w:rsidRPr="00041A56" w:rsidRDefault="006935E2"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r>
      <w:tr w:rsidR="003667D7"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3667D7" w:rsidRPr="00244030" w:rsidRDefault="003667D7"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Harding County </w:t>
            </w:r>
          </w:p>
        </w:tc>
        <w:tc>
          <w:tcPr>
            <w:tcW w:w="2458" w:type="dxa"/>
            <w:noWrap/>
          </w:tcPr>
          <w:p w:rsidR="003667D7" w:rsidRPr="00244030" w:rsidRDefault="00703692" w:rsidP="00E070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Camp Crook Elem</w:t>
            </w:r>
            <w:r w:rsidR="003667D7" w:rsidRPr="00244030">
              <w:rPr>
                <w:rFonts w:ascii="Calibri" w:eastAsia="Times New Roman" w:hAnsi="Calibri" w:cs="Calibri"/>
                <w:color w:val="000000"/>
                <w:sz w:val="22"/>
                <w:szCs w:val="22"/>
              </w:rPr>
              <w:t xml:space="preserve">     </w:t>
            </w:r>
          </w:p>
        </w:tc>
        <w:tc>
          <w:tcPr>
            <w:tcW w:w="772" w:type="dxa"/>
            <w:noWrap/>
          </w:tcPr>
          <w:p w:rsidR="003667D7" w:rsidRPr="00244030" w:rsidRDefault="003667D7"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3667D7" w:rsidRPr="00244030"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3667D7" w:rsidRPr="00244030"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810" w:type="dxa"/>
            <w:noWrap/>
          </w:tcPr>
          <w:p w:rsidR="003667D7" w:rsidRPr="00244030"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720" w:type="dxa"/>
            <w:noWrap/>
          </w:tcPr>
          <w:p w:rsidR="003667D7" w:rsidRPr="00244030"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898" w:type="dxa"/>
            <w:noWrap/>
          </w:tcPr>
          <w:p w:rsidR="003667D7" w:rsidRPr="00244030"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r>
      <w:tr w:rsidR="00703692"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3667D7" w:rsidRPr="00041A56" w:rsidRDefault="003667D7"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Bison </w:t>
            </w:r>
          </w:p>
        </w:tc>
        <w:tc>
          <w:tcPr>
            <w:tcW w:w="2458" w:type="dxa"/>
            <w:noWrap/>
            <w:hideMark/>
          </w:tcPr>
          <w:p w:rsidR="003667D7" w:rsidRPr="00041A56" w:rsidRDefault="00703692"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Bison Elem </w:t>
            </w:r>
            <w:r w:rsidR="003667D7" w:rsidRPr="00041A56">
              <w:rPr>
                <w:rFonts w:ascii="Calibri" w:eastAsia="Times New Roman" w:hAnsi="Calibri" w:cs="Calibri"/>
                <w:color w:val="000000"/>
                <w:sz w:val="22"/>
                <w:szCs w:val="22"/>
              </w:rPr>
              <w:t xml:space="preserve">     </w:t>
            </w:r>
          </w:p>
        </w:tc>
        <w:tc>
          <w:tcPr>
            <w:tcW w:w="772" w:type="dxa"/>
            <w:noWrap/>
            <w:hideMark/>
          </w:tcPr>
          <w:p w:rsidR="003667D7" w:rsidRPr="00041A56" w:rsidRDefault="003667D7"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3667D7" w:rsidRDefault="003667D7"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3667D7" w:rsidRPr="00041A56"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27</w:t>
            </w:r>
            <w:r w:rsidR="003757B0">
              <w:rPr>
                <w:rFonts w:ascii="Calibri" w:eastAsia="Times New Roman" w:hAnsi="Calibri" w:cs="Calibri"/>
                <w:color w:val="000000"/>
                <w:sz w:val="22"/>
                <w:szCs w:val="22"/>
              </w:rPr>
              <w:t>%</w:t>
            </w:r>
          </w:p>
        </w:tc>
        <w:tc>
          <w:tcPr>
            <w:tcW w:w="810" w:type="dxa"/>
            <w:noWrap/>
            <w:hideMark/>
          </w:tcPr>
          <w:p w:rsidR="003667D7" w:rsidRPr="00041A56"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36</w:t>
            </w:r>
            <w:r w:rsidR="003757B0">
              <w:rPr>
                <w:rFonts w:ascii="Calibri" w:eastAsia="Times New Roman" w:hAnsi="Calibri" w:cs="Calibri"/>
                <w:color w:val="000000"/>
                <w:sz w:val="22"/>
                <w:szCs w:val="22"/>
              </w:rPr>
              <w:t>%</w:t>
            </w:r>
          </w:p>
        </w:tc>
        <w:tc>
          <w:tcPr>
            <w:tcW w:w="720" w:type="dxa"/>
            <w:noWrap/>
            <w:hideMark/>
          </w:tcPr>
          <w:p w:rsidR="003667D7" w:rsidRPr="00041A56"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36</w:t>
            </w:r>
            <w:r w:rsidR="003757B0">
              <w:rPr>
                <w:rFonts w:ascii="Calibri" w:eastAsia="Times New Roman" w:hAnsi="Calibri" w:cs="Calibri"/>
                <w:color w:val="000000"/>
                <w:sz w:val="22"/>
                <w:szCs w:val="22"/>
              </w:rPr>
              <w:t>%</w:t>
            </w:r>
          </w:p>
        </w:tc>
        <w:tc>
          <w:tcPr>
            <w:tcW w:w="898" w:type="dxa"/>
            <w:noWrap/>
            <w:hideMark/>
          </w:tcPr>
          <w:p w:rsidR="003667D7" w:rsidRPr="00041A56"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sidR="00F2622C">
              <w:rPr>
                <w:rFonts w:ascii="Calibri" w:eastAsia="Times New Roman" w:hAnsi="Calibri" w:cs="Calibri"/>
                <w:color w:val="000000"/>
                <w:sz w:val="22"/>
                <w:szCs w:val="22"/>
              </w:rPr>
              <w:t>%</w:t>
            </w:r>
          </w:p>
        </w:tc>
      </w:tr>
      <w:tr w:rsidR="003667D7"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3667D7" w:rsidRPr="003667D7" w:rsidRDefault="007B0643" w:rsidP="00E070FD">
            <w:pPr>
              <w:rPr>
                <w:rFonts w:ascii="Calibri" w:eastAsia="Times New Roman" w:hAnsi="Calibri" w:cs="Calibri"/>
                <w:color w:val="000000"/>
                <w:sz w:val="22"/>
                <w:szCs w:val="22"/>
              </w:rPr>
            </w:pPr>
            <w:r>
              <w:rPr>
                <w:rFonts w:ascii="Calibri" w:eastAsia="Times New Roman" w:hAnsi="Calibri" w:cs="Calibri"/>
                <w:color w:val="000000"/>
                <w:sz w:val="22"/>
                <w:szCs w:val="22"/>
              </w:rPr>
              <w:t xml:space="preserve">Bison </w:t>
            </w:r>
            <w:r w:rsidR="003667D7" w:rsidRPr="003667D7">
              <w:rPr>
                <w:rFonts w:ascii="Calibri" w:eastAsia="Times New Roman" w:hAnsi="Calibri" w:cs="Calibri"/>
                <w:color w:val="000000"/>
                <w:sz w:val="22"/>
                <w:szCs w:val="22"/>
              </w:rPr>
              <w:t xml:space="preserve">             </w:t>
            </w:r>
          </w:p>
        </w:tc>
        <w:tc>
          <w:tcPr>
            <w:tcW w:w="2458" w:type="dxa"/>
            <w:noWrap/>
          </w:tcPr>
          <w:p w:rsidR="003667D7" w:rsidRPr="003667D7" w:rsidRDefault="00703692" w:rsidP="00E070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Bison Elem</w:t>
            </w:r>
            <w:r w:rsidR="003667D7" w:rsidRPr="003667D7">
              <w:rPr>
                <w:rFonts w:ascii="Calibri" w:eastAsia="Times New Roman" w:hAnsi="Calibri" w:cs="Calibri"/>
                <w:color w:val="000000"/>
                <w:sz w:val="22"/>
                <w:szCs w:val="22"/>
              </w:rPr>
              <w:t xml:space="preserve">          </w:t>
            </w:r>
          </w:p>
        </w:tc>
        <w:tc>
          <w:tcPr>
            <w:tcW w:w="772" w:type="dxa"/>
            <w:noWrap/>
          </w:tcPr>
          <w:p w:rsidR="003667D7" w:rsidRPr="003667D7" w:rsidRDefault="003667D7"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667D7">
              <w:rPr>
                <w:rFonts w:ascii="Calibri" w:eastAsia="Times New Roman" w:hAnsi="Calibri" w:cs="Calibri"/>
                <w:color w:val="000000"/>
                <w:sz w:val="22"/>
                <w:szCs w:val="22"/>
              </w:rPr>
              <w:t>3</w:t>
            </w:r>
          </w:p>
        </w:tc>
        <w:tc>
          <w:tcPr>
            <w:tcW w:w="1118" w:type="dxa"/>
            <w:noWrap/>
          </w:tcPr>
          <w:p w:rsidR="003667D7" w:rsidRPr="003667D7"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3667D7" w:rsidRPr="003667D7"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667D7">
              <w:rPr>
                <w:rFonts w:ascii="Calibri" w:eastAsia="Times New Roman" w:hAnsi="Calibri" w:cs="Calibri"/>
                <w:color w:val="000000"/>
                <w:sz w:val="22"/>
                <w:szCs w:val="22"/>
              </w:rPr>
              <w:t>0</w:t>
            </w:r>
            <w:r w:rsidR="00B33D01">
              <w:rPr>
                <w:rFonts w:ascii="Calibri" w:eastAsia="Times New Roman" w:hAnsi="Calibri" w:cs="Calibri"/>
                <w:color w:val="000000"/>
                <w:sz w:val="22"/>
                <w:szCs w:val="22"/>
              </w:rPr>
              <w:t>%</w:t>
            </w:r>
          </w:p>
        </w:tc>
        <w:tc>
          <w:tcPr>
            <w:tcW w:w="810" w:type="dxa"/>
            <w:noWrap/>
          </w:tcPr>
          <w:p w:rsidR="003667D7" w:rsidRPr="003667D7"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667D7">
              <w:rPr>
                <w:rFonts w:ascii="Calibri" w:eastAsia="Times New Roman" w:hAnsi="Calibri" w:cs="Calibri"/>
                <w:color w:val="000000"/>
                <w:sz w:val="22"/>
                <w:szCs w:val="22"/>
              </w:rPr>
              <w:t>64</w:t>
            </w:r>
            <w:r w:rsidR="003757B0">
              <w:rPr>
                <w:rFonts w:ascii="Calibri" w:eastAsia="Times New Roman" w:hAnsi="Calibri" w:cs="Calibri"/>
                <w:color w:val="000000"/>
                <w:sz w:val="22"/>
                <w:szCs w:val="22"/>
              </w:rPr>
              <w:t>%</w:t>
            </w:r>
          </w:p>
        </w:tc>
        <w:tc>
          <w:tcPr>
            <w:tcW w:w="720" w:type="dxa"/>
            <w:noWrap/>
          </w:tcPr>
          <w:p w:rsidR="003667D7" w:rsidRPr="003667D7"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667D7">
              <w:rPr>
                <w:rFonts w:ascii="Calibri" w:eastAsia="Times New Roman" w:hAnsi="Calibri" w:cs="Calibri"/>
                <w:color w:val="000000"/>
                <w:sz w:val="22"/>
                <w:szCs w:val="22"/>
              </w:rPr>
              <w:t>36</w:t>
            </w:r>
            <w:r w:rsidR="003757B0">
              <w:rPr>
                <w:rFonts w:ascii="Calibri" w:eastAsia="Times New Roman" w:hAnsi="Calibri" w:cs="Calibri"/>
                <w:color w:val="000000"/>
                <w:sz w:val="22"/>
                <w:szCs w:val="22"/>
              </w:rPr>
              <w:t>%</w:t>
            </w:r>
          </w:p>
        </w:tc>
        <w:tc>
          <w:tcPr>
            <w:tcW w:w="898" w:type="dxa"/>
            <w:noWrap/>
          </w:tcPr>
          <w:p w:rsidR="003667D7" w:rsidRPr="003667D7"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3667D7">
              <w:rPr>
                <w:rFonts w:ascii="Calibri" w:eastAsia="Times New Roman" w:hAnsi="Calibri" w:cs="Calibri"/>
                <w:color w:val="000000"/>
                <w:sz w:val="22"/>
                <w:szCs w:val="22"/>
              </w:rPr>
              <w:t>0</w:t>
            </w:r>
            <w:r w:rsidR="00F2622C">
              <w:rPr>
                <w:rFonts w:ascii="Calibri" w:eastAsia="Times New Roman" w:hAnsi="Calibri" w:cs="Calibri"/>
                <w:color w:val="000000"/>
                <w:sz w:val="22"/>
                <w:szCs w:val="22"/>
              </w:rPr>
              <w:t>%</w:t>
            </w:r>
          </w:p>
        </w:tc>
      </w:tr>
      <w:tr w:rsidR="00703692"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3667D7" w:rsidRPr="00244030" w:rsidRDefault="003667D7"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Lemmon              </w:t>
            </w:r>
          </w:p>
        </w:tc>
        <w:tc>
          <w:tcPr>
            <w:tcW w:w="2458" w:type="dxa"/>
            <w:noWrap/>
          </w:tcPr>
          <w:p w:rsidR="003667D7" w:rsidRPr="00244030" w:rsidRDefault="00703692" w:rsidP="00E070F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Lemmon Elem </w:t>
            </w:r>
            <w:r w:rsidR="003667D7" w:rsidRPr="00244030">
              <w:rPr>
                <w:rFonts w:ascii="Calibri" w:eastAsia="Times New Roman" w:hAnsi="Calibri" w:cs="Calibri"/>
                <w:color w:val="000000"/>
                <w:sz w:val="22"/>
                <w:szCs w:val="22"/>
              </w:rPr>
              <w:t xml:space="preserve">         </w:t>
            </w:r>
          </w:p>
        </w:tc>
        <w:tc>
          <w:tcPr>
            <w:tcW w:w="772" w:type="dxa"/>
            <w:noWrap/>
          </w:tcPr>
          <w:p w:rsidR="003667D7" w:rsidRPr="00244030" w:rsidRDefault="003667D7" w:rsidP="00E070F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3667D7" w:rsidRPr="00244030"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Reading</w:t>
            </w:r>
          </w:p>
        </w:tc>
        <w:tc>
          <w:tcPr>
            <w:tcW w:w="720" w:type="dxa"/>
            <w:noWrap/>
          </w:tcPr>
          <w:p w:rsidR="003667D7" w:rsidRPr="00244030"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810" w:type="dxa"/>
            <w:noWrap/>
          </w:tcPr>
          <w:p w:rsidR="003667D7" w:rsidRPr="00244030"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720" w:type="dxa"/>
            <w:noWrap/>
          </w:tcPr>
          <w:p w:rsidR="003667D7" w:rsidRPr="00244030"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898" w:type="dxa"/>
            <w:noWrap/>
          </w:tcPr>
          <w:p w:rsidR="003667D7" w:rsidRPr="00244030" w:rsidRDefault="003667D7"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r>
      <w:tr w:rsidR="003667D7"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3667D7" w:rsidRPr="00041A56" w:rsidRDefault="003667D7"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Lemmon </w:t>
            </w:r>
          </w:p>
        </w:tc>
        <w:tc>
          <w:tcPr>
            <w:tcW w:w="2458" w:type="dxa"/>
            <w:noWrap/>
            <w:hideMark/>
          </w:tcPr>
          <w:p w:rsidR="003667D7" w:rsidRPr="00041A56" w:rsidRDefault="00703692" w:rsidP="00041A5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Lemmon Elem</w:t>
            </w:r>
            <w:r w:rsidR="003667D7" w:rsidRPr="00041A56">
              <w:rPr>
                <w:rFonts w:ascii="Calibri" w:eastAsia="Times New Roman" w:hAnsi="Calibri" w:cs="Calibri"/>
                <w:color w:val="000000"/>
                <w:sz w:val="22"/>
                <w:szCs w:val="22"/>
              </w:rPr>
              <w:t xml:space="preserve">         </w:t>
            </w:r>
          </w:p>
        </w:tc>
        <w:tc>
          <w:tcPr>
            <w:tcW w:w="772" w:type="dxa"/>
            <w:noWrap/>
            <w:hideMark/>
          </w:tcPr>
          <w:p w:rsidR="003667D7" w:rsidRPr="00041A56" w:rsidRDefault="003667D7" w:rsidP="00041A5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3667D7" w:rsidRDefault="003667D7" w:rsidP="00703692">
            <w:pP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color w:val="000000"/>
                <w:sz w:val="22"/>
                <w:szCs w:val="22"/>
              </w:rPr>
              <w:t>Math</w:t>
            </w:r>
          </w:p>
        </w:tc>
        <w:tc>
          <w:tcPr>
            <w:tcW w:w="720" w:type="dxa"/>
            <w:noWrap/>
            <w:hideMark/>
          </w:tcPr>
          <w:p w:rsidR="003667D7" w:rsidRPr="00041A56"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10" w:type="dxa"/>
            <w:noWrap/>
            <w:hideMark/>
          </w:tcPr>
          <w:p w:rsidR="003667D7" w:rsidRPr="00041A56"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720" w:type="dxa"/>
            <w:noWrap/>
            <w:hideMark/>
          </w:tcPr>
          <w:p w:rsidR="003667D7" w:rsidRPr="00041A56"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98" w:type="dxa"/>
            <w:noWrap/>
            <w:hideMark/>
          </w:tcPr>
          <w:p w:rsidR="003667D7" w:rsidRPr="00041A56" w:rsidRDefault="003667D7"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r>
      <w:tr w:rsidR="00ED7671"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ED7671" w:rsidRPr="00041A56" w:rsidRDefault="00ED7671" w:rsidP="00041A56">
            <w:pPr>
              <w:rPr>
                <w:rFonts w:ascii="Calibri" w:eastAsia="Times New Roman" w:hAnsi="Calibri" w:cs="Calibri"/>
                <w:color w:val="000000"/>
                <w:sz w:val="22"/>
                <w:szCs w:val="22"/>
              </w:rPr>
            </w:pPr>
            <w:r>
              <w:rPr>
                <w:rFonts w:ascii="Calibri" w:eastAsia="Times New Roman" w:hAnsi="Calibri" w:cs="Calibri"/>
                <w:color w:val="000000"/>
                <w:sz w:val="22"/>
                <w:szCs w:val="22"/>
              </w:rPr>
              <w:lastRenderedPageBreak/>
              <w:t>Newell</w:t>
            </w:r>
          </w:p>
        </w:tc>
        <w:tc>
          <w:tcPr>
            <w:tcW w:w="2458" w:type="dxa"/>
            <w:noWrap/>
          </w:tcPr>
          <w:p w:rsidR="00ED7671" w:rsidRDefault="00ED7671"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Newell Elem</w:t>
            </w:r>
          </w:p>
        </w:tc>
        <w:tc>
          <w:tcPr>
            <w:tcW w:w="772" w:type="dxa"/>
            <w:noWrap/>
          </w:tcPr>
          <w:p w:rsidR="00ED7671" w:rsidRPr="00041A56" w:rsidRDefault="00ED7671"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1118" w:type="dxa"/>
            <w:noWrap/>
          </w:tcPr>
          <w:p w:rsidR="00ED7671" w:rsidRPr="00FC4401"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Reading</w:t>
            </w:r>
          </w:p>
        </w:tc>
        <w:tc>
          <w:tcPr>
            <w:tcW w:w="720" w:type="dxa"/>
            <w:noWrap/>
          </w:tcPr>
          <w:p w:rsidR="00ED7671" w:rsidRPr="00041A56" w:rsidRDefault="00B829C5"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35%</w:t>
            </w:r>
          </w:p>
        </w:tc>
        <w:tc>
          <w:tcPr>
            <w:tcW w:w="810" w:type="dxa"/>
            <w:noWrap/>
          </w:tcPr>
          <w:p w:rsidR="00ED7671" w:rsidRPr="00041A56" w:rsidRDefault="00B829C5"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55%</w:t>
            </w:r>
          </w:p>
        </w:tc>
        <w:tc>
          <w:tcPr>
            <w:tcW w:w="720" w:type="dxa"/>
            <w:noWrap/>
          </w:tcPr>
          <w:p w:rsidR="00ED7671" w:rsidRPr="00041A56" w:rsidRDefault="00B829C5"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10%</w:t>
            </w:r>
          </w:p>
        </w:tc>
        <w:tc>
          <w:tcPr>
            <w:tcW w:w="898" w:type="dxa"/>
            <w:noWrap/>
          </w:tcPr>
          <w:p w:rsidR="00ED7671" w:rsidRPr="00041A56" w:rsidRDefault="00B829C5"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D7671"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ED7671" w:rsidRPr="00041A56" w:rsidRDefault="00ED7671" w:rsidP="00221735">
            <w:pPr>
              <w:rPr>
                <w:rFonts w:ascii="Calibri" w:eastAsia="Times New Roman" w:hAnsi="Calibri" w:cs="Calibri"/>
                <w:color w:val="000000"/>
                <w:sz w:val="22"/>
                <w:szCs w:val="22"/>
              </w:rPr>
            </w:pPr>
            <w:r>
              <w:rPr>
                <w:rFonts w:ascii="Calibri" w:eastAsia="Times New Roman" w:hAnsi="Calibri" w:cs="Calibri"/>
                <w:color w:val="000000"/>
                <w:sz w:val="22"/>
                <w:szCs w:val="22"/>
              </w:rPr>
              <w:t>Newell</w:t>
            </w:r>
          </w:p>
        </w:tc>
        <w:tc>
          <w:tcPr>
            <w:tcW w:w="2458" w:type="dxa"/>
            <w:noWrap/>
          </w:tcPr>
          <w:p w:rsidR="00ED7671" w:rsidRDefault="00ED7671" w:rsidP="002217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Newell Elem</w:t>
            </w:r>
          </w:p>
        </w:tc>
        <w:tc>
          <w:tcPr>
            <w:tcW w:w="772" w:type="dxa"/>
            <w:noWrap/>
          </w:tcPr>
          <w:p w:rsidR="00ED7671" w:rsidRPr="00041A56" w:rsidRDefault="00ED7671" w:rsidP="0022173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1118" w:type="dxa"/>
            <w:noWrap/>
          </w:tcPr>
          <w:p w:rsidR="00ED7671" w:rsidRPr="00FC4401" w:rsidRDefault="00ED7671" w:rsidP="002217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ED7671" w:rsidRPr="00041A56"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20%</w:t>
            </w:r>
          </w:p>
        </w:tc>
        <w:tc>
          <w:tcPr>
            <w:tcW w:w="810" w:type="dxa"/>
            <w:noWrap/>
          </w:tcPr>
          <w:p w:rsidR="00ED7671" w:rsidRPr="00041A56"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60%</w:t>
            </w:r>
          </w:p>
        </w:tc>
        <w:tc>
          <w:tcPr>
            <w:tcW w:w="720" w:type="dxa"/>
            <w:noWrap/>
          </w:tcPr>
          <w:p w:rsidR="00ED7671" w:rsidRPr="00041A56"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20%</w:t>
            </w:r>
          </w:p>
        </w:tc>
        <w:tc>
          <w:tcPr>
            <w:tcW w:w="898" w:type="dxa"/>
            <w:noWrap/>
          </w:tcPr>
          <w:p w:rsidR="00ED7671" w:rsidRPr="00041A56"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0%</w:t>
            </w:r>
          </w:p>
        </w:tc>
      </w:tr>
      <w:tr w:rsidR="00ED7671"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ED7671" w:rsidRPr="00041A56" w:rsidRDefault="00ED7671"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Shannon County </w:t>
            </w:r>
          </w:p>
        </w:tc>
        <w:tc>
          <w:tcPr>
            <w:tcW w:w="2458" w:type="dxa"/>
            <w:noWrap/>
            <w:hideMark/>
          </w:tcPr>
          <w:p w:rsidR="00ED7671" w:rsidRPr="00041A56" w:rsidRDefault="00ED7671"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Batesland</w:t>
            </w:r>
            <w:proofErr w:type="spellEnd"/>
            <w:r>
              <w:rPr>
                <w:rFonts w:ascii="Calibri" w:eastAsia="Times New Roman" w:hAnsi="Calibri" w:cs="Calibri"/>
                <w:color w:val="000000"/>
                <w:sz w:val="22"/>
                <w:szCs w:val="22"/>
              </w:rPr>
              <w:t xml:space="preserve"> Elem </w:t>
            </w:r>
            <w:r w:rsidRPr="00041A56">
              <w:rPr>
                <w:rFonts w:ascii="Calibri" w:eastAsia="Times New Roman" w:hAnsi="Calibri" w:cs="Calibri"/>
                <w:color w:val="000000"/>
                <w:sz w:val="22"/>
                <w:szCs w:val="22"/>
              </w:rPr>
              <w:t xml:space="preserve">      </w:t>
            </w:r>
          </w:p>
        </w:tc>
        <w:tc>
          <w:tcPr>
            <w:tcW w:w="772" w:type="dxa"/>
            <w:noWrap/>
            <w:hideMark/>
          </w:tcPr>
          <w:p w:rsidR="00ED7671" w:rsidRPr="00041A56" w:rsidRDefault="00ED7671"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ED7671" w:rsidRDefault="00ED7671"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Pr>
                <w:rFonts w:ascii="Calibri" w:eastAsia="Times New Roman" w:hAnsi="Calibri" w:cs="Calibri"/>
                <w:color w:val="000000"/>
                <w:sz w:val="22"/>
                <w:szCs w:val="22"/>
              </w:rPr>
              <w:t>%</w:t>
            </w:r>
          </w:p>
        </w:tc>
        <w:tc>
          <w:tcPr>
            <w:tcW w:w="81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42</w:t>
            </w:r>
            <w:r>
              <w:rPr>
                <w:rFonts w:ascii="Calibri" w:eastAsia="Times New Roman" w:hAnsi="Calibri" w:cs="Calibri"/>
                <w:color w:val="000000"/>
                <w:sz w:val="22"/>
                <w:szCs w:val="22"/>
              </w:rPr>
              <w:t>%</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58</w:t>
            </w:r>
            <w:r>
              <w:rPr>
                <w:rFonts w:ascii="Calibri" w:eastAsia="Times New Roman" w:hAnsi="Calibri" w:cs="Calibri"/>
                <w:color w:val="000000"/>
                <w:sz w:val="22"/>
                <w:szCs w:val="22"/>
              </w:rPr>
              <w:t>%</w:t>
            </w:r>
          </w:p>
        </w:tc>
        <w:tc>
          <w:tcPr>
            <w:tcW w:w="898"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Pr>
                <w:rFonts w:ascii="Calibri" w:eastAsia="Times New Roman" w:hAnsi="Calibri" w:cs="Calibri"/>
                <w:color w:val="000000"/>
                <w:sz w:val="22"/>
                <w:szCs w:val="22"/>
              </w:rPr>
              <w:t>%</w:t>
            </w:r>
          </w:p>
        </w:tc>
      </w:tr>
      <w:tr w:rsidR="00ED7671"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ED7671" w:rsidRPr="00244030" w:rsidRDefault="00ED7671"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Shannon County </w:t>
            </w:r>
          </w:p>
        </w:tc>
        <w:tc>
          <w:tcPr>
            <w:tcW w:w="2458" w:type="dxa"/>
            <w:noWrap/>
          </w:tcPr>
          <w:p w:rsidR="00ED7671" w:rsidRPr="00244030" w:rsidRDefault="00ED7671" w:rsidP="00E070F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roofErr w:type="spellStart"/>
            <w:r>
              <w:rPr>
                <w:rFonts w:ascii="Calibri" w:eastAsia="Times New Roman" w:hAnsi="Calibri" w:cs="Calibri"/>
                <w:color w:val="000000"/>
                <w:sz w:val="22"/>
                <w:szCs w:val="22"/>
              </w:rPr>
              <w:t>Batesland</w:t>
            </w:r>
            <w:proofErr w:type="spellEnd"/>
            <w:r>
              <w:rPr>
                <w:rFonts w:ascii="Calibri" w:eastAsia="Times New Roman" w:hAnsi="Calibri" w:cs="Calibri"/>
                <w:color w:val="000000"/>
                <w:sz w:val="22"/>
                <w:szCs w:val="22"/>
              </w:rPr>
              <w:t xml:space="preserve"> Elem </w:t>
            </w:r>
            <w:r w:rsidRPr="00244030">
              <w:rPr>
                <w:rFonts w:ascii="Calibri" w:eastAsia="Times New Roman" w:hAnsi="Calibri" w:cs="Calibri"/>
                <w:color w:val="000000"/>
                <w:sz w:val="22"/>
                <w:szCs w:val="22"/>
              </w:rPr>
              <w:t xml:space="preserve">      </w:t>
            </w:r>
          </w:p>
        </w:tc>
        <w:tc>
          <w:tcPr>
            <w:tcW w:w="772" w:type="dxa"/>
            <w:noWrap/>
          </w:tcPr>
          <w:p w:rsidR="00ED7671" w:rsidRPr="00244030" w:rsidRDefault="00ED7671"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0</w:t>
            </w:r>
            <w:r>
              <w:rPr>
                <w:rFonts w:ascii="Calibri" w:eastAsia="Times New Roman" w:hAnsi="Calibri" w:cs="Calibri"/>
                <w:color w:val="000000"/>
                <w:sz w:val="22"/>
                <w:szCs w:val="22"/>
              </w:rPr>
              <w:t>%</w:t>
            </w:r>
          </w:p>
        </w:tc>
        <w:tc>
          <w:tcPr>
            <w:tcW w:w="81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16</w:t>
            </w:r>
            <w:r>
              <w:rPr>
                <w:rFonts w:ascii="Calibri" w:eastAsia="Times New Roman" w:hAnsi="Calibri" w:cs="Calibri"/>
                <w:color w:val="000000"/>
                <w:sz w:val="22"/>
                <w:szCs w:val="22"/>
              </w:rPr>
              <w:t>%</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84</w:t>
            </w:r>
            <w:r>
              <w:rPr>
                <w:rFonts w:ascii="Calibri" w:eastAsia="Times New Roman" w:hAnsi="Calibri" w:cs="Calibri"/>
                <w:color w:val="000000"/>
                <w:sz w:val="22"/>
                <w:szCs w:val="22"/>
              </w:rPr>
              <w:t>%</w:t>
            </w:r>
          </w:p>
        </w:tc>
        <w:tc>
          <w:tcPr>
            <w:tcW w:w="89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0</w:t>
            </w:r>
            <w:r>
              <w:rPr>
                <w:rFonts w:ascii="Calibri" w:eastAsia="Times New Roman" w:hAnsi="Calibri" w:cs="Calibri"/>
                <w:color w:val="000000"/>
                <w:sz w:val="22"/>
                <w:szCs w:val="22"/>
              </w:rPr>
              <w:t>%</w:t>
            </w:r>
          </w:p>
        </w:tc>
      </w:tr>
      <w:tr w:rsidR="00ED7671"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ED7671" w:rsidRPr="00041A56" w:rsidRDefault="00ED7671"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Shannon County </w:t>
            </w:r>
          </w:p>
        </w:tc>
        <w:tc>
          <w:tcPr>
            <w:tcW w:w="2458" w:type="dxa"/>
            <w:noWrap/>
            <w:hideMark/>
          </w:tcPr>
          <w:p w:rsidR="00ED7671" w:rsidRPr="00041A56" w:rsidRDefault="00ED7671" w:rsidP="00041A5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Wolf Creek Lower Elem</w:t>
            </w:r>
          </w:p>
        </w:tc>
        <w:tc>
          <w:tcPr>
            <w:tcW w:w="772" w:type="dxa"/>
            <w:noWrap/>
            <w:hideMark/>
          </w:tcPr>
          <w:p w:rsidR="00ED7671" w:rsidRPr="00041A56" w:rsidRDefault="00ED7671"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ED7671" w:rsidRDefault="00ED7671"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Pr>
                <w:rFonts w:ascii="Calibri" w:eastAsia="Times New Roman" w:hAnsi="Calibri" w:cs="Calibri"/>
                <w:color w:val="000000"/>
                <w:sz w:val="22"/>
                <w:szCs w:val="22"/>
              </w:rPr>
              <w:t>%</w:t>
            </w:r>
          </w:p>
        </w:tc>
        <w:tc>
          <w:tcPr>
            <w:tcW w:w="81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25</w:t>
            </w:r>
            <w:r>
              <w:rPr>
                <w:rFonts w:ascii="Calibri" w:eastAsia="Times New Roman" w:hAnsi="Calibri" w:cs="Calibri"/>
                <w:color w:val="000000"/>
                <w:sz w:val="22"/>
                <w:szCs w:val="22"/>
              </w:rPr>
              <w:t>%</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71</w:t>
            </w:r>
            <w:r>
              <w:rPr>
                <w:rFonts w:ascii="Calibri" w:eastAsia="Times New Roman" w:hAnsi="Calibri" w:cs="Calibri"/>
                <w:color w:val="000000"/>
                <w:sz w:val="22"/>
                <w:szCs w:val="22"/>
              </w:rPr>
              <w:t>%</w:t>
            </w:r>
          </w:p>
        </w:tc>
        <w:tc>
          <w:tcPr>
            <w:tcW w:w="898"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4</w:t>
            </w:r>
            <w:r>
              <w:rPr>
                <w:rFonts w:ascii="Calibri" w:eastAsia="Times New Roman" w:hAnsi="Calibri" w:cs="Calibri"/>
                <w:color w:val="000000"/>
                <w:sz w:val="22"/>
                <w:szCs w:val="22"/>
              </w:rPr>
              <w:t>%</w:t>
            </w:r>
          </w:p>
        </w:tc>
      </w:tr>
      <w:tr w:rsidR="00ED7671"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ED7671" w:rsidRPr="00244030" w:rsidRDefault="00ED7671"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Shannon County </w:t>
            </w:r>
          </w:p>
        </w:tc>
        <w:tc>
          <w:tcPr>
            <w:tcW w:w="245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Wolf Creek Lower Elem </w:t>
            </w:r>
          </w:p>
        </w:tc>
        <w:tc>
          <w:tcPr>
            <w:tcW w:w="772" w:type="dxa"/>
            <w:noWrap/>
          </w:tcPr>
          <w:p w:rsidR="00ED7671" w:rsidRPr="00244030" w:rsidRDefault="00ED7671"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0</w:t>
            </w:r>
            <w:r>
              <w:rPr>
                <w:rFonts w:ascii="Calibri" w:eastAsia="Times New Roman" w:hAnsi="Calibri" w:cs="Calibri"/>
                <w:color w:val="000000"/>
                <w:sz w:val="22"/>
                <w:szCs w:val="22"/>
              </w:rPr>
              <w:t>%</w:t>
            </w:r>
          </w:p>
        </w:tc>
        <w:tc>
          <w:tcPr>
            <w:tcW w:w="81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15</w:t>
            </w:r>
            <w:r>
              <w:rPr>
                <w:rFonts w:ascii="Calibri" w:eastAsia="Times New Roman" w:hAnsi="Calibri" w:cs="Calibri"/>
                <w:color w:val="000000"/>
                <w:sz w:val="22"/>
                <w:szCs w:val="22"/>
              </w:rPr>
              <w:t>%</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83</w:t>
            </w:r>
            <w:r>
              <w:rPr>
                <w:rFonts w:ascii="Calibri" w:eastAsia="Times New Roman" w:hAnsi="Calibri" w:cs="Calibri"/>
                <w:color w:val="000000"/>
                <w:sz w:val="22"/>
                <w:szCs w:val="22"/>
              </w:rPr>
              <w:t>%</w:t>
            </w:r>
          </w:p>
        </w:tc>
        <w:tc>
          <w:tcPr>
            <w:tcW w:w="89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2</w:t>
            </w:r>
            <w:r>
              <w:rPr>
                <w:rFonts w:ascii="Calibri" w:eastAsia="Times New Roman" w:hAnsi="Calibri" w:cs="Calibri"/>
                <w:color w:val="000000"/>
                <w:sz w:val="22"/>
                <w:szCs w:val="22"/>
              </w:rPr>
              <w:t>%</w:t>
            </w:r>
          </w:p>
        </w:tc>
      </w:tr>
      <w:tr w:rsidR="00ED7671"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ED7671" w:rsidRPr="00041A56" w:rsidRDefault="00ED7671"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Shannon County </w:t>
            </w:r>
          </w:p>
        </w:tc>
        <w:tc>
          <w:tcPr>
            <w:tcW w:w="2458"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proofErr w:type="spellStart"/>
            <w:r w:rsidRPr="00041A56">
              <w:rPr>
                <w:rFonts w:ascii="Calibri" w:eastAsia="Times New Roman" w:hAnsi="Calibri" w:cs="Calibri"/>
                <w:color w:val="000000"/>
                <w:sz w:val="22"/>
                <w:szCs w:val="22"/>
              </w:rPr>
              <w:t>Rockyford</w:t>
            </w:r>
            <w:proofErr w:type="spellEnd"/>
            <w:r w:rsidRPr="00041A56">
              <w:rPr>
                <w:rFonts w:ascii="Calibri" w:eastAsia="Times New Roman" w:hAnsi="Calibri" w:cs="Calibri"/>
                <w:color w:val="000000"/>
                <w:sz w:val="22"/>
                <w:szCs w:val="22"/>
              </w:rPr>
              <w:t xml:space="preserve"> Lower Elem </w:t>
            </w:r>
          </w:p>
        </w:tc>
        <w:tc>
          <w:tcPr>
            <w:tcW w:w="772" w:type="dxa"/>
            <w:noWrap/>
            <w:hideMark/>
          </w:tcPr>
          <w:p w:rsidR="00ED7671" w:rsidRPr="00041A56" w:rsidRDefault="00ED7671"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ED7671" w:rsidRDefault="00ED7671"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0</w:t>
            </w:r>
            <w:r>
              <w:rPr>
                <w:rFonts w:ascii="Calibri" w:eastAsia="Times New Roman" w:hAnsi="Calibri" w:cs="Calibri"/>
                <w:color w:val="000000"/>
                <w:sz w:val="22"/>
                <w:szCs w:val="22"/>
              </w:rPr>
              <w:t>%</w:t>
            </w:r>
          </w:p>
        </w:tc>
        <w:tc>
          <w:tcPr>
            <w:tcW w:w="81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30</w:t>
            </w:r>
            <w:r>
              <w:rPr>
                <w:rFonts w:ascii="Calibri" w:eastAsia="Times New Roman" w:hAnsi="Calibri" w:cs="Calibri"/>
                <w:color w:val="000000"/>
                <w:sz w:val="22"/>
                <w:szCs w:val="22"/>
              </w:rPr>
              <w:t>%</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67</w:t>
            </w:r>
            <w:r>
              <w:rPr>
                <w:rFonts w:ascii="Calibri" w:eastAsia="Times New Roman" w:hAnsi="Calibri" w:cs="Calibri"/>
                <w:color w:val="000000"/>
                <w:sz w:val="22"/>
                <w:szCs w:val="22"/>
              </w:rPr>
              <w:t>%</w:t>
            </w:r>
          </w:p>
        </w:tc>
        <w:tc>
          <w:tcPr>
            <w:tcW w:w="898"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r>
              <w:rPr>
                <w:rFonts w:ascii="Calibri" w:eastAsia="Times New Roman" w:hAnsi="Calibri" w:cs="Calibri"/>
                <w:color w:val="000000"/>
                <w:sz w:val="22"/>
                <w:szCs w:val="22"/>
              </w:rPr>
              <w:t>%</w:t>
            </w:r>
          </w:p>
        </w:tc>
      </w:tr>
      <w:tr w:rsidR="00ED7671"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ED7671" w:rsidRPr="00244030" w:rsidRDefault="00ED7671"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Shannon County </w:t>
            </w:r>
          </w:p>
        </w:tc>
        <w:tc>
          <w:tcPr>
            <w:tcW w:w="245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proofErr w:type="spellStart"/>
            <w:r w:rsidRPr="00244030">
              <w:rPr>
                <w:rFonts w:ascii="Calibri" w:eastAsia="Times New Roman" w:hAnsi="Calibri" w:cs="Calibri"/>
                <w:color w:val="000000"/>
                <w:sz w:val="22"/>
                <w:szCs w:val="22"/>
              </w:rPr>
              <w:t>Rockyford</w:t>
            </w:r>
            <w:proofErr w:type="spellEnd"/>
            <w:r w:rsidRPr="00244030">
              <w:rPr>
                <w:rFonts w:ascii="Calibri" w:eastAsia="Times New Roman" w:hAnsi="Calibri" w:cs="Calibri"/>
                <w:color w:val="000000"/>
                <w:sz w:val="22"/>
                <w:szCs w:val="22"/>
              </w:rPr>
              <w:t xml:space="preserve"> Lower Elem </w:t>
            </w:r>
          </w:p>
        </w:tc>
        <w:tc>
          <w:tcPr>
            <w:tcW w:w="772" w:type="dxa"/>
            <w:noWrap/>
          </w:tcPr>
          <w:p w:rsidR="00ED7671" w:rsidRPr="00244030" w:rsidRDefault="00ED7671"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0</w:t>
            </w:r>
            <w:r>
              <w:rPr>
                <w:rFonts w:ascii="Calibri" w:eastAsia="Times New Roman" w:hAnsi="Calibri" w:cs="Calibri"/>
                <w:color w:val="000000"/>
                <w:sz w:val="22"/>
                <w:szCs w:val="22"/>
              </w:rPr>
              <w:t>%</w:t>
            </w:r>
          </w:p>
        </w:tc>
        <w:tc>
          <w:tcPr>
            <w:tcW w:w="81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27</w:t>
            </w:r>
            <w:r>
              <w:rPr>
                <w:rFonts w:ascii="Calibri" w:eastAsia="Times New Roman" w:hAnsi="Calibri" w:cs="Calibri"/>
                <w:color w:val="000000"/>
                <w:sz w:val="22"/>
                <w:szCs w:val="22"/>
              </w:rPr>
              <w:t>%</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70</w:t>
            </w:r>
            <w:r>
              <w:rPr>
                <w:rFonts w:ascii="Calibri" w:eastAsia="Times New Roman" w:hAnsi="Calibri" w:cs="Calibri"/>
                <w:color w:val="000000"/>
                <w:sz w:val="22"/>
                <w:szCs w:val="22"/>
              </w:rPr>
              <w:t>%</w:t>
            </w:r>
          </w:p>
        </w:tc>
        <w:tc>
          <w:tcPr>
            <w:tcW w:w="89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r>
              <w:rPr>
                <w:rFonts w:ascii="Calibri" w:eastAsia="Times New Roman" w:hAnsi="Calibri" w:cs="Calibri"/>
                <w:color w:val="000000"/>
                <w:sz w:val="22"/>
                <w:szCs w:val="22"/>
              </w:rPr>
              <w:t>%</w:t>
            </w:r>
          </w:p>
        </w:tc>
      </w:tr>
      <w:tr w:rsidR="00ED7671" w:rsidRPr="00041A56" w:rsidTr="00640B5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hideMark/>
          </w:tcPr>
          <w:p w:rsidR="00ED7671" w:rsidRPr="00041A56" w:rsidRDefault="00ED7671" w:rsidP="00041A56">
            <w:pPr>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Shannon County </w:t>
            </w:r>
          </w:p>
        </w:tc>
        <w:tc>
          <w:tcPr>
            <w:tcW w:w="2458"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Red Shirt Table Elem </w:t>
            </w:r>
          </w:p>
        </w:tc>
        <w:tc>
          <w:tcPr>
            <w:tcW w:w="772" w:type="dxa"/>
            <w:noWrap/>
            <w:hideMark/>
          </w:tcPr>
          <w:p w:rsidR="00ED7671" w:rsidRPr="00041A56" w:rsidRDefault="00ED7671" w:rsidP="00041A5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3</w:t>
            </w:r>
          </w:p>
        </w:tc>
        <w:tc>
          <w:tcPr>
            <w:tcW w:w="1118" w:type="dxa"/>
            <w:noWrap/>
            <w:hideMark/>
          </w:tcPr>
          <w:p w:rsidR="00ED7671" w:rsidRDefault="00ED7671" w:rsidP="00703692">
            <w:pPr>
              <w:cnfStyle w:val="000000100000" w:firstRow="0" w:lastRow="0" w:firstColumn="0" w:lastColumn="0" w:oddVBand="0" w:evenVBand="0" w:oddHBand="1" w:evenHBand="0" w:firstRowFirstColumn="0" w:firstRowLastColumn="0" w:lastRowFirstColumn="0" w:lastRowLastColumn="0"/>
            </w:pPr>
            <w:r w:rsidRPr="00FC4401">
              <w:rPr>
                <w:rFonts w:ascii="Calibri" w:eastAsia="Times New Roman" w:hAnsi="Calibri" w:cs="Calibri"/>
                <w:color w:val="000000"/>
                <w:sz w:val="22"/>
                <w:szCs w:val="22"/>
              </w:rPr>
              <w:t>Reading</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1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720"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c>
          <w:tcPr>
            <w:tcW w:w="898" w:type="dxa"/>
            <w:noWrap/>
            <w:hideMark/>
          </w:tcPr>
          <w:p w:rsidR="00ED7671" w:rsidRPr="00041A56" w:rsidRDefault="00ED7671" w:rsidP="0070369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041A56">
              <w:rPr>
                <w:rFonts w:ascii="Calibri" w:eastAsia="Times New Roman" w:hAnsi="Calibri" w:cs="Calibri"/>
                <w:color w:val="000000"/>
                <w:sz w:val="22"/>
                <w:szCs w:val="22"/>
              </w:rPr>
              <w:t xml:space="preserve">  .</w:t>
            </w:r>
          </w:p>
        </w:tc>
      </w:tr>
      <w:tr w:rsidR="00ED7671" w:rsidRPr="00041A56" w:rsidTr="00640B52">
        <w:trPr>
          <w:trHeight w:val="300"/>
          <w:jc w:val="center"/>
        </w:trPr>
        <w:tc>
          <w:tcPr>
            <w:cnfStyle w:val="001000000000" w:firstRow="0" w:lastRow="0" w:firstColumn="1" w:lastColumn="0" w:oddVBand="0" w:evenVBand="0" w:oddHBand="0" w:evenHBand="0" w:firstRowFirstColumn="0" w:firstRowLastColumn="0" w:lastRowFirstColumn="0" w:lastRowLastColumn="0"/>
            <w:tcW w:w="1880" w:type="dxa"/>
            <w:shd w:val="clear" w:color="auto" w:fill="DFFF82" w:themeFill="accent1" w:themeFillTint="66"/>
            <w:noWrap/>
          </w:tcPr>
          <w:p w:rsidR="00ED7671" w:rsidRPr="00244030" w:rsidRDefault="00ED7671" w:rsidP="003667D7">
            <w:pPr>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Shannon County </w:t>
            </w:r>
          </w:p>
        </w:tc>
        <w:tc>
          <w:tcPr>
            <w:tcW w:w="245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 xml:space="preserve">Red Shirt Table Elem </w:t>
            </w:r>
          </w:p>
        </w:tc>
        <w:tc>
          <w:tcPr>
            <w:tcW w:w="772" w:type="dxa"/>
            <w:noWrap/>
          </w:tcPr>
          <w:p w:rsidR="00ED7671" w:rsidRPr="00244030" w:rsidRDefault="00ED7671" w:rsidP="00E070F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3</w:t>
            </w:r>
          </w:p>
        </w:tc>
        <w:tc>
          <w:tcPr>
            <w:tcW w:w="111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Math</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81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720"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c>
          <w:tcPr>
            <w:tcW w:w="898" w:type="dxa"/>
            <w:noWrap/>
          </w:tcPr>
          <w:p w:rsidR="00ED7671" w:rsidRPr="00244030" w:rsidRDefault="00ED7671" w:rsidP="0070369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44030">
              <w:rPr>
                <w:rFonts w:ascii="Calibri" w:eastAsia="Times New Roman" w:hAnsi="Calibri" w:cs="Calibri"/>
                <w:color w:val="000000"/>
                <w:sz w:val="22"/>
                <w:szCs w:val="22"/>
              </w:rPr>
              <w:t xml:space="preserve">  .</w:t>
            </w:r>
          </w:p>
        </w:tc>
      </w:tr>
    </w:tbl>
    <w:p w:rsidR="00A30E99" w:rsidRPr="008A688D" w:rsidRDefault="00703692" w:rsidP="00703692">
      <w:pPr>
        <w:ind w:left="360"/>
        <w:jc w:val="center"/>
        <w:rPr>
          <w:b/>
        </w:rPr>
      </w:pPr>
      <w:r w:rsidRPr="008A688D">
        <w:rPr>
          <w:b/>
        </w:rPr>
        <w:t xml:space="preserve">Figure </w:t>
      </w:r>
      <w:r w:rsidR="00E71A8B" w:rsidRPr="008A688D">
        <w:rPr>
          <w:b/>
        </w:rPr>
        <w:t>3.1</w:t>
      </w:r>
    </w:p>
    <w:p w:rsidR="004E28C7" w:rsidRDefault="004C4D70" w:rsidP="00280048">
      <w:pPr>
        <w:spacing w:line="480" w:lineRule="auto"/>
        <w:ind w:firstLine="360"/>
      </w:pPr>
      <w:r>
        <w:t>TREC’s focus on delivering rigorous and quality programming is more important than ever. In the age of high profile testing and new content standards, it is likely that K-12 test scores and proficiency percentages will fall significantly in the 2014-2015 school year.</w:t>
      </w:r>
    </w:p>
    <w:p w:rsidR="004C4D70" w:rsidRPr="004E28C7" w:rsidRDefault="004C4D70" w:rsidP="00280048">
      <w:pPr>
        <w:spacing w:line="480" w:lineRule="auto"/>
        <w:ind w:firstLine="360"/>
      </w:pPr>
      <w:r>
        <w:t xml:space="preserve">As a result of the aforementioned, TREC will have to be very focused on providing rigorous and valuable programming </w:t>
      </w:r>
      <w:r w:rsidR="00D7411E">
        <w:t>in all areas. Like most years, an emphasis in mathematics and literacy will be paramount as they are the building blocks of learning. In addition, a heavy amount of attention will be placed in the area of Social Emotional development. Learning math and literacy is incumbent upon a child being able to control their behaviors and emotions in a classroom setting.</w:t>
      </w:r>
    </w:p>
    <w:p w:rsidR="00EE7CAF" w:rsidRDefault="00EE7CAF" w:rsidP="00EE7CAF">
      <w:pPr>
        <w:pStyle w:val="Heading2"/>
      </w:pPr>
      <w:bookmarkStart w:id="19" w:name="_Toc416269440"/>
      <w:r>
        <w:t>Nutrition</w:t>
      </w:r>
      <w:bookmarkEnd w:id="19"/>
    </w:p>
    <w:p w:rsidR="00D870E5" w:rsidRDefault="00AE5CDD" w:rsidP="00280048">
      <w:pPr>
        <w:spacing w:line="480" w:lineRule="auto"/>
        <w:ind w:firstLine="720"/>
      </w:pPr>
      <w:r>
        <w:t xml:space="preserve">Health and nutritional needs for children are the foundation of a successful learning experience in the classroom. In addition, a healthy mind and body are essential to a child’s longevity and overall quality of life. TREC firmly believes in taking care of the children’s health and nutritional needs by providing services directly related to the well-being of each individual served. This section seeks to explain and understand the positive things happening in each of the communities as well as highlight some areas where we can improve our mission of helping communities recognize the importance of health and nutrition in the family. </w:t>
      </w:r>
    </w:p>
    <w:p w:rsidR="002108AA" w:rsidRDefault="002108AA" w:rsidP="00280048">
      <w:pPr>
        <w:spacing w:line="480" w:lineRule="auto"/>
        <w:ind w:firstLine="720"/>
      </w:pPr>
      <w:r>
        <w:t xml:space="preserve">Childhood obesity is a fairly common concern among health and nutrition professionals in South Dakota. In fact, the data published by the Department of Health (DOH) and Department of Education (DOE) point out that, </w:t>
      </w:r>
      <w:r>
        <w:lastRenderedPageBreak/>
        <w:t>as a state, 28.7% of children ages 5 -8 in the sample were either overweight or obese</w:t>
      </w:r>
      <w:r w:rsidR="007C0BC7">
        <w:t xml:space="preserve"> (South Dakota Department of Health, 2014)</w:t>
      </w:r>
      <w:r>
        <w:t xml:space="preserve">. That is nearly one third of the sampling fall into either the obese or overweight category. While this is </w:t>
      </w:r>
      <w:r w:rsidR="007C0BC7">
        <w:t>the case representative in South Dakota, a closer examination of TREC’s service area is warranted to determine the health and nutritional needs of our communities.</w:t>
      </w:r>
    </w:p>
    <w:p w:rsidR="007C0BC7" w:rsidRDefault="007C0BC7" w:rsidP="00280048">
      <w:pPr>
        <w:spacing w:line="480" w:lineRule="auto"/>
        <w:ind w:firstLine="720"/>
      </w:pPr>
      <w:r>
        <w:t>The data below illustrate a comprehensive picture of Head Start children in all counties which TREC serves. It is clear from the data that</w:t>
      </w:r>
      <w:r w:rsidR="00AE02D5">
        <w:t xml:space="preserve"> many students</w:t>
      </w:r>
      <w:r>
        <w:t xml:space="preserve"> our counties not suffering the effects of childhood obesity. In fact, the data tell us that in every county</w:t>
      </w:r>
      <w:r w:rsidR="00AE02D5">
        <w:t xml:space="preserve"> there are a number of children that fall into either the overweight or obese category</w:t>
      </w:r>
      <w:r>
        <w:t>. One could plausibly argue that the children are receiving the nourishm</w:t>
      </w:r>
      <w:r w:rsidR="00B15269">
        <w:t xml:space="preserve">ent and amount of food necessary, but they may be indulging in the wrong kinds of foods. Building on this information, exercise becomes an important factor in combatting obesity. </w:t>
      </w:r>
    </w:p>
    <w:p w:rsidR="002108AA" w:rsidRDefault="002108AA" w:rsidP="002108AA">
      <w:pPr>
        <w:jc w:val="center"/>
      </w:pPr>
      <w:r>
        <w:t>Head Start BMI by Counties (clustered)</w:t>
      </w:r>
    </w:p>
    <w:tbl>
      <w:tblPr>
        <w:tblStyle w:val="LightList-Accent1"/>
        <w:tblpPr w:leftFromText="180" w:rightFromText="180" w:vertAnchor="text" w:tblpXSpec="center" w:tblpY="1"/>
        <w:tblOverlap w:val="never"/>
        <w:tblW w:w="9576" w:type="dxa"/>
        <w:tblLook w:val="04A0" w:firstRow="1" w:lastRow="0" w:firstColumn="1" w:lastColumn="0" w:noHBand="0" w:noVBand="1"/>
      </w:tblPr>
      <w:tblGrid>
        <w:gridCol w:w="2268"/>
        <w:gridCol w:w="1890"/>
        <w:gridCol w:w="990"/>
        <w:gridCol w:w="1800"/>
        <w:gridCol w:w="1350"/>
        <w:gridCol w:w="1278"/>
      </w:tblGrid>
      <w:tr w:rsidR="00B15269" w:rsidRPr="002108AA" w:rsidTr="00B1526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B15269" w:rsidRPr="002108AA" w:rsidRDefault="00B15269" w:rsidP="00D870E5">
            <w:pPr>
              <w:rPr>
                <w:rFonts w:ascii="Calibri" w:eastAsia="Times New Roman" w:hAnsi="Calibri" w:cs="Calibri"/>
                <w:color w:val="000000"/>
                <w:sz w:val="22"/>
                <w:szCs w:val="22"/>
              </w:rPr>
            </w:pPr>
            <w:r w:rsidRPr="002108AA">
              <w:rPr>
                <w:rFonts w:ascii="Calibri" w:eastAsia="Times New Roman" w:hAnsi="Calibri" w:cs="Calibri"/>
                <w:color w:val="000000"/>
                <w:sz w:val="22"/>
                <w:szCs w:val="22"/>
              </w:rPr>
              <w:t>BMI Category</w:t>
            </w:r>
          </w:p>
        </w:tc>
        <w:tc>
          <w:tcPr>
            <w:tcW w:w="1890" w:type="dxa"/>
            <w:noWrap/>
            <w:hideMark/>
          </w:tcPr>
          <w:p w:rsidR="00B15269" w:rsidRPr="002108AA" w:rsidRDefault="00B15269" w:rsidP="00D870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108AA">
              <w:rPr>
                <w:rFonts w:ascii="Calibri" w:eastAsia="Times New Roman" w:hAnsi="Calibri" w:cs="Calibri"/>
                <w:color w:val="000000"/>
                <w:sz w:val="22"/>
                <w:szCs w:val="22"/>
              </w:rPr>
              <w:t>Bennett/Shannon</w:t>
            </w:r>
          </w:p>
        </w:tc>
        <w:tc>
          <w:tcPr>
            <w:tcW w:w="990" w:type="dxa"/>
            <w:noWrap/>
            <w:hideMark/>
          </w:tcPr>
          <w:p w:rsidR="00B15269" w:rsidRPr="002108AA" w:rsidRDefault="00B15269" w:rsidP="00D870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108AA">
              <w:rPr>
                <w:rFonts w:ascii="Calibri" w:eastAsia="Times New Roman" w:hAnsi="Calibri" w:cs="Calibri"/>
                <w:color w:val="000000"/>
                <w:sz w:val="22"/>
                <w:szCs w:val="22"/>
              </w:rPr>
              <w:t>Butte</w:t>
            </w:r>
          </w:p>
        </w:tc>
        <w:tc>
          <w:tcPr>
            <w:tcW w:w="1800" w:type="dxa"/>
            <w:noWrap/>
            <w:hideMark/>
          </w:tcPr>
          <w:p w:rsidR="00B15269" w:rsidRPr="002108AA" w:rsidRDefault="00B15269" w:rsidP="00D870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108AA">
              <w:rPr>
                <w:rFonts w:ascii="Calibri" w:eastAsia="Times New Roman" w:hAnsi="Calibri" w:cs="Calibri"/>
                <w:color w:val="000000"/>
                <w:sz w:val="22"/>
                <w:szCs w:val="22"/>
              </w:rPr>
              <w:t>Corson/Perkins</w:t>
            </w:r>
          </w:p>
        </w:tc>
        <w:tc>
          <w:tcPr>
            <w:tcW w:w="1350" w:type="dxa"/>
            <w:noWrap/>
            <w:hideMark/>
          </w:tcPr>
          <w:p w:rsidR="00B15269" w:rsidRPr="002108AA" w:rsidRDefault="00B15269" w:rsidP="00D870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108AA">
              <w:rPr>
                <w:rFonts w:ascii="Calibri" w:eastAsia="Times New Roman" w:hAnsi="Calibri" w:cs="Calibri"/>
                <w:color w:val="000000"/>
                <w:sz w:val="22"/>
                <w:szCs w:val="22"/>
              </w:rPr>
              <w:t xml:space="preserve">Harding </w:t>
            </w:r>
          </w:p>
        </w:tc>
        <w:tc>
          <w:tcPr>
            <w:tcW w:w="1278" w:type="dxa"/>
          </w:tcPr>
          <w:p w:rsidR="00B15269" w:rsidRPr="002108AA" w:rsidRDefault="00B15269" w:rsidP="00D870E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Totals</w:t>
            </w:r>
          </w:p>
        </w:tc>
      </w:tr>
      <w:tr w:rsidR="00B15269" w:rsidRPr="002108AA" w:rsidTr="00B1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B15269" w:rsidRPr="002108AA" w:rsidRDefault="00B15269" w:rsidP="00D870E5">
            <w:pPr>
              <w:rPr>
                <w:rFonts w:ascii="Calibri" w:eastAsia="Times New Roman" w:hAnsi="Calibri" w:cs="Calibri"/>
                <w:color w:val="000000"/>
                <w:sz w:val="22"/>
                <w:szCs w:val="22"/>
              </w:rPr>
            </w:pPr>
            <w:r w:rsidRPr="002108AA">
              <w:rPr>
                <w:rFonts w:ascii="Calibri" w:eastAsia="Times New Roman" w:hAnsi="Calibri" w:cs="Calibri"/>
                <w:color w:val="000000"/>
                <w:sz w:val="22"/>
                <w:szCs w:val="22"/>
              </w:rPr>
              <w:t>Underweight</w:t>
            </w:r>
          </w:p>
        </w:tc>
        <w:tc>
          <w:tcPr>
            <w:tcW w:w="189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99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5</w:t>
            </w:r>
          </w:p>
        </w:tc>
        <w:tc>
          <w:tcPr>
            <w:tcW w:w="180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w:t>
            </w:r>
          </w:p>
        </w:tc>
        <w:tc>
          <w:tcPr>
            <w:tcW w:w="135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0</w:t>
            </w:r>
          </w:p>
        </w:tc>
        <w:tc>
          <w:tcPr>
            <w:tcW w:w="1278" w:type="dxa"/>
          </w:tcPr>
          <w:p w:rsidR="00B15269"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7</w:t>
            </w:r>
          </w:p>
        </w:tc>
      </w:tr>
      <w:tr w:rsidR="00B15269" w:rsidRPr="002108AA" w:rsidTr="00B1526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B15269" w:rsidRPr="002108AA" w:rsidRDefault="00B15269" w:rsidP="00D870E5">
            <w:pPr>
              <w:rPr>
                <w:rFonts w:ascii="Calibri" w:eastAsia="Times New Roman" w:hAnsi="Calibri" w:cs="Calibri"/>
                <w:color w:val="000000"/>
                <w:sz w:val="22"/>
                <w:szCs w:val="22"/>
              </w:rPr>
            </w:pPr>
            <w:r w:rsidRPr="002108AA">
              <w:rPr>
                <w:rFonts w:ascii="Calibri" w:eastAsia="Times New Roman" w:hAnsi="Calibri" w:cs="Calibri"/>
                <w:color w:val="000000"/>
                <w:sz w:val="22"/>
                <w:szCs w:val="22"/>
              </w:rPr>
              <w:t>Normal</w:t>
            </w:r>
          </w:p>
        </w:tc>
        <w:tc>
          <w:tcPr>
            <w:tcW w:w="189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108AA">
              <w:rPr>
                <w:rFonts w:ascii="Calibri" w:eastAsia="Times New Roman" w:hAnsi="Calibri" w:cs="Calibri"/>
                <w:color w:val="000000"/>
                <w:sz w:val="22"/>
                <w:szCs w:val="22"/>
              </w:rPr>
              <w:t>3</w:t>
            </w:r>
            <w:r>
              <w:rPr>
                <w:rFonts w:ascii="Calibri" w:eastAsia="Times New Roman" w:hAnsi="Calibri" w:cs="Calibri"/>
                <w:color w:val="000000"/>
                <w:sz w:val="22"/>
                <w:szCs w:val="22"/>
              </w:rPr>
              <w:t>1</w:t>
            </w:r>
          </w:p>
        </w:tc>
        <w:tc>
          <w:tcPr>
            <w:tcW w:w="99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44</w:t>
            </w:r>
          </w:p>
        </w:tc>
        <w:tc>
          <w:tcPr>
            <w:tcW w:w="180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19</w:t>
            </w:r>
          </w:p>
        </w:tc>
        <w:tc>
          <w:tcPr>
            <w:tcW w:w="135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4</w:t>
            </w:r>
          </w:p>
        </w:tc>
        <w:tc>
          <w:tcPr>
            <w:tcW w:w="1278" w:type="dxa"/>
          </w:tcPr>
          <w:p w:rsidR="00B15269"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98</w:t>
            </w:r>
          </w:p>
        </w:tc>
      </w:tr>
      <w:tr w:rsidR="00B15269" w:rsidRPr="002108AA" w:rsidTr="00B1526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B15269" w:rsidRPr="002108AA" w:rsidRDefault="00B15269" w:rsidP="00D870E5">
            <w:pPr>
              <w:rPr>
                <w:rFonts w:ascii="Calibri" w:eastAsia="Times New Roman" w:hAnsi="Calibri" w:cs="Calibri"/>
                <w:color w:val="000000"/>
                <w:sz w:val="22"/>
                <w:szCs w:val="22"/>
              </w:rPr>
            </w:pPr>
            <w:r w:rsidRPr="002108AA">
              <w:rPr>
                <w:rFonts w:ascii="Calibri" w:eastAsia="Times New Roman" w:hAnsi="Calibri" w:cs="Calibri"/>
                <w:color w:val="000000"/>
                <w:sz w:val="22"/>
                <w:szCs w:val="22"/>
              </w:rPr>
              <w:t>Overweight</w:t>
            </w:r>
          </w:p>
        </w:tc>
        <w:tc>
          <w:tcPr>
            <w:tcW w:w="189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99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12</w:t>
            </w:r>
          </w:p>
        </w:tc>
        <w:tc>
          <w:tcPr>
            <w:tcW w:w="180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6</w:t>
            </w:r>
          </w:p>
        </w:tc>
        <w:tc>
          <w:tcPr>
            <w:tcW w:w="1350" w:type="dxa"/>
            <w:noWrap/>
            <w:hideMark/>
          </w:tcPr>
          <w:p w:rsidR="00B15269" w:rsidRPr="002108AA"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1278" w:type="dxa"/>
          </w:tcPr>
          <w:p w:rsidR="00B15269" w:rsidRDefault="00B15269" w:rsidP="00D870E5">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24</w:t>
            </w:r>
          </w:p>
        </w:tc>
      </w:tr>
      <w:tr w:rsidR="00B15269" w:rsidRPr="002108AA" w:rsidTr="00B15269">
        <w:trPr>
          <w:trHeight w:val="300"/>
        </w:trPr>
        <w:tc>
          <w:tcPr>
            <w:cnfStyle w:val="001000000000" w:firstRow="0" w:lastRow="0" w:firstColumn="1" w:lastColumn="0" w:oddVBand="0" w:evenVBand="0" w:oddHBand="0" w:evenHBand="0" w:firstRowFirstColumn="0" w:firstRowLastColumn="0" w:lastRowFirstColumn="0" w:lastRowLastColumn="0"/>
            <w:tcW w:w="2268" w:type="dxa"/>
            <w:noWrap/>
            <w:hideMark/>
          </w:tcPr>
          <w:p w:rsidR="00B15269" w:rsidRPr="002108AA" w:rsidRDefault="00B15269" w:rsidP="00D870E5">
            <w:pPr>
              <w:rPr>
                <w:rFonts w:ascii="Calibri" w:eastAsia="Times New Roman" w:hAnsi="Calibri" w:cs="Calibri"/>
                <w:color w:val="000000"/>
                <w:sz w:val="22"/>
                <w:szCs w:val="22"/>
              </w:rPr>
            </w:pPr>
            <w:r w:rsidRPr="002108AA">
              <w:rPr>
                <w:rFonts w:ascii="Calibri" w:eastAsia="Times New Roman" w:hAnsi="Calibri" w:cs="Calibri"/>
                <w:color w:val="000000"/>
                <w:sz w:val="22"/>
                <w:szCs w:val="22"/>
              </w:rPr>
              <w:t>Obese</w:t>
            </w:r>
          </w:p>
        </w:tc>
        <w:tc>
          <w:tcPr>
            <w:tcW w:w="189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7</w:t>
            </w:r>
          </w:p>
        </w:tc>
        <w:tc>
          <w:tcPr>
            <w:tcW w:w="99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9</w:t>
            </w:r>
          </w:p>
        </w:tc>
        <w:tc>
          <w:tcPr>
            <w:tcW w:w="180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3</w:t>
            </w:r>
          </w:p>
        </w:tc>
        <w:tc>
          <w:tcPr>
            <w:tcW w:w="1350" w:type="dxa"/>
            <w:noWrap/>
            <w:hideMark/>
          </w:tcPr>
          <w:p w:rsidR="00B15269" w:rsidRPr="002108AA"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1</w:t>
            </w:r>
          </w:p>
        </w:tc>
        <w:tc>
          <w:tcPr>
            <w:tcW w:w="1278" w:type="dxa"/>
          </w:tcPr>
          <w:p w:rsidR="00B15269" w:rsidRDefault="00B15269" w:rsidP="00D870E5">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Pr>
                <w:rFonts w:ascii="Calibri" w:eastAsia="Times New Roman" w:hAnsi="Calibri" w:cs="Calibri"/>
                <w:color w:val="000000"/>
                <w:sz w:val="22"/>
                <w:szCs w:val="22"/>
              </w:rPr>
              <w:t>20</w:t>
            </w:r>
          </w:p>
        </w:tc>
      </w:tr>
    </w:tbl>
    <w:p w:rsidR="00E71A8B" w:rsidRPr="00F9634E" w:rsidRDefault="00E71A8B" w:rsidP="00E71A8B">
      <w:pPr>
        <w:spacing w:line="480" w:lineRule="auto"/>
        <w:jc w:val="center"/>
        <w:rPr>
          <w:b/>
        </w:rPr>
      </w:pPr>
      <w:r w:rsidRPr="00F9634E">
        <w:rPr>
          <w:b/>
        </w:rPr>
        <w:t>Figure 3.2</w:t>
      </w:r>
    </w:p>
    <w:p w:rsidR="00F9634E" w:rsidRDefault="00146FF5" w:rsidP="00280048">
      <w:pPr>
        <w:spacing w:line="480" w:lineRule="auto"/>
        <w:ind w:firstLine="720"/>
      </w:pPr>
      <w:r>
        <w:t xml:space="preserve"> It is part of TREC’s mission to give the children in our</w:t>
      </w:r>
      <w:r w:rsidR="007E558F">
        <w:t xml:space="preserve"> area the most ample opportunities</w:t>
      </w:r>
      <w:r>
        <w:t xml:space="preserve"> to be healthy and successful. </w:t>
      </w:r>
      <w:r w:rsidR="00F9634E">
        <w:t xml:space="preserve">After all, nutritional needs being satisfied are part of a healthy lifestyle. Bringing a healthy child to the classroom impacts their ability to be successful academically. </w:t>
      </w:r>
    </w:p>
    <w:p w:rsidR="00D870E5" w:rsidRDefault="008124A3" w:rsidP="00280048">
      <w:pPr>
        <w:spacing w:line="480" w:lineRule="auto"/>
        <w:ind w:firstLine="720"/>
      </w:pPr>
      <w:r>
        <w:t>Data from the BMI can only help us to an extent, and they do not paint a picture of trends developing in terms of long-term nutrition considerations for TREC children and families.</w:t>
      </w:r>
      <w:r w:rsidR="00B15269">
        <w:t xml:space="preserve"> In fact, past data point</w:t>
      </w:r>
      <w:r w:rsidR="00D32E8B">
        <w:t xml:space="preserve"> out that this observation is somewhat cyclical. To be clear, weight patterns vary regularly and by cohort.</w:t>
      </w:r>
      <w:r>
        <w:t xml:space="preserve"> Also, t</w:t>
      </w:r>
      <w:r w:rsidR="00146FF5">
        <w:t>his is</w:t>
      </w:r>
      <w:r>
        <w:t xml:space="preserve"> only part of the picture</w:t>
      </w:r>
      <w:r w:rsidR="00146FF5">
        <w:t xml:space="preserve">. Plentiful and nutritious food are certainly part of the overall equation, but proper hygiene habits and preventative healthcare also ensure that TREC’s children are in the best position possible to learn and develop. We shall discuss this next. </w:t>
      </w:r>
    </w:p>
    <w:p w:rsidR="00D870E5" w:rsidRDefault="00BE059D" w:rsidP="00BE059D">
      <w:pPr>
        <w:pStyle w:val="Heading2"/>
      </w:pPr>
      <w:bookmarkStart w:id="20" w:name="_Toc416269441"/>
      <w:r>
        <w:lastRenderedPageBreak/>
        <w:t>Health</w:t>
      </w:r>
      <w:bookmarkEnd w:id="20"/>
    </w:p>
    <w:p w:rsidR="008C32D8" w:rsidRDefault="00BE059D" w:rsidP="00280048">
      <w:pPr>
        <w:spacing w:line="480" w:lineRule="auto"/>
        <w:ind w:firstLine="720"/>
      </w:pPr>
      <w:r>
        <w:t>In the section above, we talked at length</w:t>
      </w:r>
      <w:r w:rsidR="008C32D8">
        <w:t xml:space="preserve"> about the nutritional needs and education. In order to be successful in either of the aforementioned, children must be willing to enter the program healthy. A healthy body is the basis for successes in other areas of TREC’s program. </w:t>
      </w:r>
    </w:p>
    <w:p w:rsidR="00D06BD6" w:rsidRDefault="008C32D8" w:rsidP="00280048">
      <w:pPr>
        <w:spacing w:line="480" w:lineRule="auto"/>
        <w:ind w:firstLine="720"/>
      </w:pPr>
      <w:r>
        <w:t>TREC currently assesses each child entering the Head Start and Early Head Start programs according to the guidelines espoused under the Head Start Act and under Head Start Performance Standards. The findings in the data ar</w:t>
      </w:r>
      <w:r w:rsidR="00865A33">
        <w:t xml:space="preserve">e telling in many ways. First, </w:t>
      </w:r>
      <w:r>
        <w:t xml:space="preserve">TREC’s children are generally healthy overall. </w:t>
      </w:r>
      <w:r w:rsidR="00865A33">
        <w:t>A general look at the Program Information Report (PIR) data serves to confirm this assumption</w:t>
      </w:r>
      <w:r w:rsidR="002D73DC">
        <w:t xml:space="preserve">. </w:t>
      </w:r>
      <w:r>
        <w:t xml:space="preserve">There are, however, some areas where TREC students enter the program with health deficiencies. The data below, in regards to vision, seem to indicate that vision is a specific problem in Shannon and Bennett counties. In addition, a fair percentage of children in Butte County possess vision </w:t>
      </w:r>
      <w:r w:rsidR="00865A33">
        <w:t>deficiencies</w:t>
      </w:r>
      <w:r w:rsidR="00BE059D">
        <w:t xml:space="preserve"> </w:t>
      </w:r>
      <w:r w:rsidR="00D06BD6">
        <w:t xml:space="preserve">as well. The other counties (Perkins, Corson, and Harding) did not have the same </w:t>
      </w:r>
      <w:r w:rsidR="00865A33">
        <w:t>problems</w:t>
      </w:r>
      <w:r w:rsidR="00D06BD6">
        <w:t xml:space="preserve"> with vision that those in Butte, Shannon, and Bennett counties did.</w:t>
      </w:r>
    </w:p>
    <w:p w:rsidR="00DE1F6F" w:rsidRDefault="00A353CB" w:rsidP="00280048">
      <w:pPr>
        <w:spacing w:line="480" w:lineRule="auto"/>
        <w:ind w:firstLine="720"/>
      </w:pPr>
      <w:r>
        <w:t xml:space="preserve">Dental screenings are </w:t>
      </w:r>
      <w:r w:rsidR="00652775">
        <w:t xml:space="preserve">part and parcel of our programming. While the Head Start and Early Head Start screenings tell us the potential problems in regards to dental health, they are not entirely focused in the solution. In fact, the data from our Program Information Report (PIR), shows a good number of Head Start children require follow-up dental treatment. Many children are receiving preventative care prior to enrolling in the Head Start program. However, more than half of the children need follow up treatments, and some require serious oral surgeries to repair dental problems. The </w:t>
      </w:r>
      <w:proofErr w:type="gramStart"/>
      <w:r w:rsidR="00652775">
        <w:t>implications</w:t>
      </w:r>
      <w:proofErr w:type="gramEnd"/>
      <w:r w:rsidR="00652775">
        <w:t xml:space="preserve"> of poor oral health on a child is significant and can be life-threatening is some cases. It is clear that TREC must focus on both the dental screenings for children as well as educating families about the import</w:t>
      </w:r>
      <w:r w:rsidR="00DE1F6F">
        <w:t>ance of everyday dental hygiene.</w:t>
      </w:r>
    </w:p>
    <w:p w:rsidR="00E60C3B" w:rsidRDefault="00210981" w:rsidP="00DC2AB5">
      <w:pPr>
        <w:spacing w:line="480" w:lineRule="auto"/>
        <w:ind w:firstLine="720"/>
      </w:pPr>
      <w:r>
        <w:t>Prenatal health and overall checkups are integral to a child’s health. From a program perspective, the PIR data illustrate a lack of enrollment in Early Head Start programs during the first trimester of pregnancy. The longitudinal history of low enrollment in the first trimester indicates this is a trend for TREC programs.</w:t>
      </w:r>
      <w:r w:rsidR="00193EA8">
        <w:t xml:space="preserve"> </w:t>
      </w:r>
      <w:r>
        <w:t xml:space="preserve">These statistics are a little unsettling. The data do offer some solace, though. More women are enrolling in the second and third trimester in order to receive the prenatal services and education important to their child’s well-being. </w:t>
      </w:r>
    </w:p>
    <w:tbl>
      <w:tblPr>
        <w:tblStyle w:val="LightList-Accent1"/>
        <w:tblW w:w="5700" w:type="dxa"/>
        <w:jc w:val="center"/>
        <w:tblLook w:val="04A0" w:firstRow="1" w:lastRow="0" w:firstColumn="1" w:lastColumn="0" w:noHBand="0" w:noVBand="1"/>
      </w:tblPr>
      <w:tblGrid>
        <w:gridCol w:w="3180"/>
        <w:gridCol w:w="1120"/>
        <w:gridCol w:w="1400"/>
      </w:tblGrid>
      <w:tr w:rsidR="00E60C3B" w:rsidRPr="00E60C3B" w:rsidTr="00E60C3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noWrap/>
            <w:hideMark/>
          </w:tcPr>
          <w:p w:rsidR="00E60C3B" w:rsidRPr="00E60C3B" w:rsidRDefault="00E60C3B" w:rsidP="00E60C3B">
            <w:pPr>
              <w:rPr>
                <w:rFonts w:ascii="Calibri" w:eastAsia="Times New Roman" w:hAnsi="Calibri" w:cs="Calibri"/>
                <w:color w:val="FFFFFF"/>
                <w:sz w:val="22"/>
                <w:szCs w:val="22"/>
              </w:rPr>
            </w:pPr>
            <w:r w:rsidRPr="00E60C3B">
              <w:rPr>
                <w:rFonts w:ascii="Calibri" w:eastAsia="Times New Roman" w:hAnsi="Calibri" w:cs="Calibri"/>
                <w:color w:val="FFFFFF"/>
                <w:sz w:val="22"/>
                <w:szCs w:val="22"/>
              </w:rPr>
              <w:lastRenderedPageBreak/>
              <w:t>Enrollment Period</w:t>
            </w:r>
          </w:p>
        </w:tc>
        <w:tc>
          <w:tcPr>
            <w:tcW w:w="1120" w:type="dxa"/>
            <w:noWrap/>
            <w:hideMark/>
          </w:tcPr>
          <w:p w:rsidR="00E60C3B" w:rsidRPr="00E60C3B" w:rsidRDefault="00E60C3B" w:rsidP="00E60C3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E60C3B">
              <w:rPr>
                <w:rFonts w:ascii="Calibri" w:eastAsia="Times New Roman" w:hAnsi="Calibri" w:cs="Calibri"/>
                <w:color w:val="FFFFFF"/>
                <w:sz w:val="22"/>
                <w:szCs w:val="22"/>
              </w:rPr>
              <w:t>Number</w:t>
            </w:r>
          </w:p>
        </w:tc>
        <w:tc>
          <w:tcPr>
            <w:tcW w:w="1400" w:type="dxa"/>
            <w:noWrap/>
            <w:hideMark/>
          </w:tcPr>
          <w:p w:rsidR="00E60C3B" w:rsidRPr="00E60C3B" w:rsidRDefault="00E60C3B" w:rsidP="00E60C3B">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E60C3B">
              <w:rPr>
                <w:rFonts w:ascii="Calibri" w:eastAsia="Times New Roman" w:hAnsi="Calibri" w:cs="Calibri"/>
                <w:color w:val="FFFFFF"/>
                <w:sz w:val="22"/>
                <w:szCs w:val="22"/>
              </w:rPr>
              <w:t>Percentage</w:t>
            </w:r>
          </w:p>
        </w:tc>
      </w:tr>
      <w:tr w:rsidR="00E60C3B" w:rsidRPr="00E60C3B" w:rsidTr="00E60C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noWrap/>
            <w:hideMark/>
          </w:tcPr>
          <w:p w:rsidR="00E60C3B" w:rsidRPr="00E60C3B" w:rsidRDefault="00E60C3B" w:rsidP="00E60C3B">
            <w:pPr>
              <w:rPr>
                <w:rFonts w:ascii="Calibri" w:eastAsia="Times New Roman" w:hAnsi="Calibri" w:cs="Calibri"/>
                <w:color w:val="000000"/>
                <w:sz w:val="22"/>
                <w:szCs w:val="22"/>
              </w:rPr>
            </w:pPr>
            <w:r w:rsidRPr="00E60C3B">
              <w:rPr>
                <w:rFonts w:ascii="Calibri" w:eastAsia="Times New Roman" w:hAnsi="Calibri" w:cs="Calibri"/>
                <w:color w:val="000000"/>
                <w:sz w:val="22"/>
                <w:szCs w:val="22"/>
              </w:rPr>
              <w:t>Enrolled During 1st Trimester</w:t>
            </w:r>
          </w:p>
        </w:tc>
        <w:tc>
          <w:tcPr>
            <w:tcW w:w="1120" w:type="dxa"/>
            <w:noWrap/>
            <w:hideMark/>
          </w:tcPr>
          <w:p w:rsidR="00E60C3B" w:rsidRPr="00E60C3B" w:rsidRDefault="00E60C3B" w:rsidP="00E60C3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4</w:t>
            </w:r>
          </w:p>
        </w:tc>
        <w:tc>
          <w:tcPr>
            <w:tcW w:w="1400" w:type="dxa"/>
            <w:noWrap/>
            <w:hideMark/>
          </w:tcPr>
          <w:p w:rsidR="00E60C3B" w:rsidRPr="00E60C3B" w:rsidRDefault="00E60C3B" w:rsidP="00E60C3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26.67%</w:t>
            </w:r>
          </w:p>
        </w:tc>
      </w:tr>
      <w:tr w:rsidR="00E60C3B" w:rsidRPr="00E60C3B" w:rsidTr="00E60C3B">
        <w:trPr>
          <w:trHeight w:val="300"/>
          <w:jc w:val="center"/>
        </w:trPr>
        <w:tc>
          <w:tcPr>
            <w:cnfStyle w:val="001000000000" w:firstRow="0" w:lastRow="0" w:firstColumn="1" w:lastColumn="0" w:oddVBand="0" w:evenVBand="0" w:oddHBand="0" w:evenHBand="0" w:firstRowFirstColumn="0" w:firstRowLastColumn="0" w:lastRowFirstColumn="0" w:lastRowLastColumn="0"/>
            <w:tcW w:w="3180" w:type="dxa"/>
            <w:noWrap/>
            <w:hideMark/>
          </w:tcPr>
          <w:p w:rsidR="00E60C3B" w:rsidRPr="00E60C3B" w:rsidRDefault="00E60C3B" w:rsidP="00E60C3B">
            <w:pPr>
              <w:rPr>
                <w:rFonts w:ascii="Calibri" w:eastAsia="Times New Roman" w:hAnsi="Calibri" w:cs="Calibri"/>
                <w:color w:val="000000"/>
                <w:sz w:val="22"/>
                <w:szCs w:val="22"/>
              </w:rPr>
            </w:pPr>
            <w:r w:rsidRPr="00E60C3B">
              <w:rPr>
                <w:rFonts w:ascii="Calibri" w:eastAsia="Times New Roman" w:hAnsi="Calibri" w:cs="Calibri"/>
                <w:color w:val="000000"/>
                <w:sz w:val="22"/>
                <w:szCs w:val="22"/>
              </w:rPr>
              <w:t xml:space="preserve">Enrolled During 2nd Trimester </w:t>
            </w:r>
          </w:p>
        </w:tc>
        <w:tc>
          <w:tcPr>
            <w:tcW w:w="1120" w:type="dxa"/>
            <w:noWrap/>
            <w:hideMark/>
          </w:tcPr>
          <w:p w:rsidR="00E60C3B" w:rsidRPr="00E60C3B" w:rsidRDefault="00E60C3B" w:rsidP="00E60C3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4</w:t>
            </w:r>
          </w:p>
        </w:tc>
        <w:tc>
          <w:tcPr>
            <w:tcW w:w="1400" w:type="dxa"/>
            <w:noWrap/>
            <w:hideMark/>
          </w:tcPr>
          <w:p w:rsidR="00E60C3B" w:rsidRPr="00E60C3B" w:rsidRDefault="00E60C3B" w:rsidP="00E60C3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26.67%</w:t>
            </w:r>
          </w:p>
        </w:tc>
      </w:tr>
      <w:tr w:rsidR="00E60C3B" w:rsidRPr="00E60C3B" w:rsidTr="00E60C3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80" w:type="dxa"/>
            <w:noWrap/>
            <w:hideMark/>
          </w:tcPr>
          <w:p w:rsidR="00E60C3B" w:rsidRPr="00E60C3B" w:rsidRDefault="00E60C3B" w:rsidP="00E60C3B">
            <w:pPr>
              <w:rPr>
                <w:rFonts w:ascii="Calibri" w:eastAsia="Times New Roman" w:hAnsi="Calibri" w:cs="Calibri"/>
                <w:color w:val="000000"/>
                <w:sz w:val="22"/>
                <w:szCs w:val="22"/>
              </w:rPr>
            </w:pPr>
            <w:r w:rsidRPr="00E60C3B">
              <w:rPr>
                <w:rFonts w:ascii="Calibri" w:eastAsia="Times New Roman" w:hAnsi="Calibri" w:cs="Calibri"/>
                <w:color w:val="000000"/>
                <w:sz w:val="22"/>
                <w:szCs w:val="22"/>
              </w:rPr>
              <w:t xml:space="preserve">Enrolled During 3rd Trimester </w:t>
            </w:r>
          </w:p>
        </w:tc>
        <w:tc>
          <w:tcPr>
            <w:tcW w:w="1120" w:type="dxa"/>
            <w:noWrap/>
            <w:hideMark/>
          </w:tcPr>
          <w:p w:rsidR="00E60C3B" w:rsidRPr="00E60C3B" w:rsidRDefault="00E60C3B" w:rsidP="00E60C3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7</w:t>
            </w:r>
          </w:p>
        </w:tc>
        <w:tc>
          <w:tcPr>
            <w:tcW w:w="1400" w:type="dxa"/>
            <w:noWrap/>
            <w:hideMark/>
          </w:tcPr>
          <w:p w:rsidR="00E60C3B" w:rsidRPr="00E60C3B" w:rsidRDefault="00E60C3B" w:rsidP="00E60C3B">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46.67%</w:t>
            </w:r>
          </w:p>
        </w:tc>
      </w:tr>
      <w:tr w:rsidR="00E60C3B" w:rsidRPr="00E60C3B" w:rsidTr="00E60C3B">
        <w:trPr>
          <w:trHeight w:val="300"/>
          <w:jc w:val="center"/>
        </w:trPr>
        <w:tc>
          <w:tcPr>
            <w:cnfStyle w:val="001000000000" w:firstRow="0" w:lastRow="0" w:firstColumn="1" w:lastColumn="0" w:oddVBand="0" w:evenVBand="0" w:oddHBand="0" w:evenHBand="0" w:firstRowFirstColumn="0" w:firstRowLastColumn="0" w:lastRowFirstColumn="0" w:lastRowLastColumn="0"/>
            <w:tcW w:w="3180" w:type="dxa"/>
            <w:noWrap/>
            <w:hideMark/>
          </w:tcPr>
          <w:p w:rsidR="00E60C3B" w:rsidRPr="00E60C3B" w:rsidRDefault="00E60C3B" w:rsidP="00E60C3B">
            <w:pPr>
              <w:rPr>
                <w:rFonts w:ascii="Calibri" w:eastAsia="Times New Roman" w:hAnsi="Calibri" w:cs="Calibri"/>
                <w:color w:val="000000"/>
                <w:sz w:val="22"/>
                <w:szCs w:val="22"/>
              </w:rPr>
            </w:pPr>
            <w:r w:rsidRPr="00E60C3B">
              <w:rPr>
                <w:rFonts w:ascii="Calibri" w:eastAsia="Times New Roman" w:hAnsi="Calibri" w:cs="Calibri"/>
                <w:color w:val="000000"/>
                <w:sz w:val="22"/>
                <w:szCs w:val="22"/>
              </w:rPr>
              <w:t xml:space="preserve">Medically High Risk Pregnancies </w:t>
            </w:r>
          </w:p>
        </w:tc>
        <w:tc>
          <w:tcPr>
            <w:tcW w:w="1120" w:type="dxa"/>
            <w:noWrap/>
            <w:hideMark/>
          </w:tcPr>
          <w:p w:rsidR="00E60C3B" w:rsidRPr="00E60C3B" w:rsidRDefault="00E60C3B" w:rsidP="00E60C3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9</w:t>
            </w:r>
          </w:p>
        </w:tc>
        <w:tc>
          <w:tcPr>
            <w:tcW w:w="1400" w:type="dxa"/>
            <w:noWrap/>
            <w:hideMark/>
          </w:tcPr>
          <w:p w:rsidR="00E60C3B" w:rsidRPr="00E60C3B" w:rsidRDefault="00E60C3B" w:rsidP="00E60C3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E60C3B">
              <w:rPr>
                <w:rFonts w:ascii="Calibri" w:eastAsia="Times New Roman" w:hAnsi="Calibri" w:cs="Calibri"/>
                <w:color w:val="000000"/>
                <w:sz w:val="22"/>
                <w:szCs w:val="22"/>
              </w:rPr>
              <w:t>60.00%</w:t>
            </w:r>
          </w:p>
        </w:tc>
      </w:tr>
    </w:tbl>
    <w:p w:rsidR="00E60C3B" w:rsidRPr="00E60C3B" w:rsidRDefault="00E60C3B" w:rsidP="00E60C3B">
      <w:pPr>
        <w:spacing w:line="480" w:lineRule="auto"/>
        <w:jc w:val="center"/>
        <w:rPr>
          <w:b/>
        </w:rPr>
      </w:pPr>
      <w:r w:rsidRPr="00E60C3B">
        <w:rPr>
          <w:b/>
        </w:rPr>
        <w:t>Figure 3.3</w:t>
      </w:r>
    </w:p>
    <w:p w:rsidR="00DE1F6F" w:rsidRDefault="00DE1F6F" w:rsidP="00E42B6D">
      <w:pPr>
        <w:spacing w:line="480" w:lineRule="auto"/>
        <w:ind w:firstLine="720"/>
      </w:pPr>
      <w:r>
        <w:t>One cannot fully assess the health of our children without also looking at the availability of healthcare providers in the communities we serve. Being in a rural and somewhat isolated area, medical and dental service</w:t>
      </w:r>
      <w:r w:rsidR="00894FC0">
        <w:t>s can be somewhat hard to find – as evidenced by the graphics below.</w:t>
      </w:r>
    </w:p>
    <w:p w:rsidR="00894FC0" w:rsidRDefault="00280048" w:rsidP="00865A33">
      <w:pPr>
        <w:spacing w:line="480" w:lineRule="auto"/>
      </w:pPr>
      <w:r>
        <w:rPr>
          <w:noProof/>
        </w:rPr>
        <w:drawing>
          <wp:inline distT="0" distB="0" distL="0" distR="0" wp14:anchorId="3E0A1000" wp14:editId="231498E8">
            <wp:extent cx="4651513" cy="3567154"/>
            <wp:effectExtent l="171450" t="171450" r="377825" b="3575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53486" cy="3568667"/>
                    </a:xfrm>
                    <a:prstGeom prst="rect">
                      <a:avLst/>
                    </a:prstGeom>
                    <a:ln>
                      <a:noFill/>
                    </a:ln>
                    <a:effectLst>
                      <a:outerShdw blurRad="292100" dist="139700" dir="2700000" algn="tl" rotWithShape="0">
                        <a:srgbClr val="333333">
                          <a:alpha val="65000"/>
                        </a:srgbClr>
                      </a:outerShdw>
                    </a:effectLst>
                  </pic:spPr>
                </pic:pic>
              </a:graphicData>
            </a:graphic>
          </wp:inline>
        </w:drawing>
      </w:r>
    </w:p>
    <w:p w:rsidR="00894FC0" w:rsidRDefault="00894FC0" w:rsidP="00865A33">
      <w:pPr>
        <w:spacing w:line="480" w:lineRule="auto"/>
      </w:pPr>
    </w:p>
    <w:p w:rsidR="00101B9B" w:rsidRPr="00101B9B" w:rsidRDefault="005B085D" w:rsidP="00865A33">
      <w:pPr>
        <w:spacing w:line="480" w:lineRule="auto"/>
      </w:pPr>
      <w:r>
        <w:rPr>
          <w:noProof/>
        </w:rPr>
        <w:lastRenderedPageBreak/>
        <w:drawing>
          <wp:inline distT="0" distB="0" distL="0" distR="0" wp14:anchorId="683ACC01" wp14:editId="32B12665">
            <wp:extent cx="4654296" cy="3824877"/>
            <wp:effectExtent l="171450" t="171450" r="375285" b="3663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54296" cy="3824877"/>
                    </a:xfrm>
                    <a:prstGeom prst="rect">
                      <a:avLst/>
                    </a:prstGeom>
                    <a:ln>
                      <a:noFill/>
                    </a:ln>
                    <a:effectLst>
                      <a:outerShdw blurRad="292100" dist="139700" dir="2700000" algn="tl" rotWithShape="0">
                        <a:srgbClr val="333333">
                          <a:alpha val="65000"/>
                        </a:srgbClr>
                      </a:outerShdw>
                    </a:effectLst>
                  </pic:spPr>
                </pic:pic>
              </a:graphicData>
            </a:graphic>
          </wp:inline>
        </w:drawing>
      </w:r>
    </w:p>
    <w:p w:rsidR="008A688D" w:rsidRDefault="00101B9B" w:rsidP="00280048">
      <w:pPr>
        <w:spacing w:line="480" w:lineRule="auto"/>
        <w:ind w:firstLine="720"/>
        <w:jc w:val="both"/>
      </w:pPr>
      <w:r w:rsidRPr="00101B9B">
        <w:t xml:space="preserve">TREC serves geographic areas that classify as medical, dental and mental health underserved areas.  The criteria to be designated an underserved area are set forth by the </w:t>
      </w:r>
      <w:proofErr w:type="spellStart"/>
      <w:r w:rsidRPr="00101B9B">
        <w:t>Gravell</w:t>
      </w:r>
      <w:proofErr w:type="spellEnd"/>
      <w:r w:rsidRPr="00101B9B">
        <w:t xml:space="preserve"> Amendment.  These criteria are: 1) a population of less than 1,000; 2) unavailability of preschools; 3) health professional shortage area status; and, 4) the community is in a location that by reason of remoteness does not permit access to medical services.  Underserved areas for Early Head Start are: all of Harding County; all of Perkins County excluding the city of Lemmon; and, </w:t>
      </w:r>
      <w:r w:rsidR="00E60C3B">
        <w:t xml:space="preserve">Butte </w:t>
      </w:r>
      <w:r w:rsidRPr="00101B9B">
        <w:t>County.  Underserved areas for Head Start are: Western Corson County; Perkins County excluding the city of Lemmon; all of Harding County; and, Bennett County excluding the city of Martin.  (Shannon County is served by the Indian Health Service.)  This designation is important to BHS: P-5 as it allows the programs to enroll up to 50% of its families from the over income category once all income eligible families have been offered services.</w:t>
      </w:r>
    </w:p>
    <w:p w:rsidR="00175B75" w:rsidRDefault="00175B75" w:rsidP="00280048">
      <w:pPr>
        <w:spacing w:line="480" w:lineRule="auto"/>
        <w:ind w:firstLine="720"/>
        <w:jc w:val="both"/>
      </w:pPr>
    </w:p>
    <w:p w:rsidR="00175B75" w:rsidRDefault="00175B75" w:rsidP="00175B75">
      <w:pPr>
        <w:pStyle w:val="Heading2"/>
      </w:pPr>
      <w:bookmarkStart w:id="21" w:name="_Toc416269442"/>
      <w:r>
        <w:lastRenderedPageBreak/>
        <w:t>Mental Health</w:t>
      </w:r>
      <w:bookmarkEnd w:id="21"/>
    </w:p>
    <w:p w:rsidR="00175B75" w:rsidRDefault="00175B75" w:rsidP="006D44DB">
      <w:pPr>
        <w:spacing w:line="480" w:lineRule="auto"/>
      </w:pPr>
      <w:r>
        <w:tab/>
        <w:t>Mental health factors impacting the TREC service area warrant close consideration. While instances of mental health can be difficult to track with data currently available, it is a pervasive issue in some commu</w:t>
      </w:r>
      <w:r w:rsidR="006D44DB">
        <w:t>nities which TREC serves. This claim in backed up by data from the South Dakota Department of Health. The self-inflicted mortality rate for some of our counties is astonishing. In fact the data below represent a serious mental health concern that has not been addressed in the state of South Dakota. This problem is compounded by the fact that all counties in the TREC area have a shortage of qualified mental health professionals.</w:t>
      </w:r>
    </w:p>
    <w:tbl>
      <w:tblPr>
        <w:tblStyle w:val="LightList-Accent1"/>
        <w:tblW w:w="0" w:type="auto"/>
        <w:tblLook w:val="04A0" w:firstRow="1" w:lastRow="0" w:firstColumn="1" w:lastColumn="0" w:noHBand="0" w:noVBand="1"/>
      </w:tblPr>
      <w:tblGrid>
        <w:gridCol w:w="1596"/>
        <w:gridCol w:w="1596"/>
        <w:gridCol w:w="1596"/>
        <w:gridCol w:w="1596"/>
        <w:gridCol w:w="1596"/>
        <w:gridCol w:w="1596"/>
      </w:tblGrid>
      <w:tr w:rsidR="006D44DB" w:rsidTr="006D4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6"/>
          </w:tcPr>
          <w:p w:rsidR="006D44DB" w:rsidRDefault="006D44DB" w:rsidP="006D44DB">
            <w:pPr>
              <w:spacing w:line="480" w:lineRule="auto"/>
              <w:jc w:val="center"/>
            </w:pPr>
            <w:r>
              <w:t>Self-Inflicted Mortality Rates per 100,000 Persons</w:t>
            </w:r>
          </w:p>
        </w:tc>
      </w:tr>
      <w:tr w:rsidR="006D44DB" w:rsidTr="006D4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D44DB" w:rsidRPr="006D44DB" w:rsidRDefault="006D44DB" w:rsidP="006D44DB">
            <w:pPr>
              <w:spacing w:line="480" w:lineRule="auto"/>
            </w:pPr>
            <w:r w:rsidRPr="006D44DB">
              <w:t>Bennett</w:t>
            </w:r>
          </w:p>
        </w:tc>
        <w:tc>
          <w:tcPr>
            <w:tcW w:w="1596" w:type="dxa"/>
          </w:tcPr>
          <w:p w:rsidR="006D44DB" w:rsidRPr="006D44DB" w:rsidRDefault="006D44DB" w:rsidP="006D44DB">
            <w:pPr>
              <w:spacing w:line="480" w:lineRule="auto"/>
              <w:cnfStyle w:val="000000100000" w:firstRow="0" w:lastRow="0" w:firstColumn="0" w:lastColumn="0" w:oddVBand="0" w:evenVBand="0" w:oddHBand="1" w:evenHBand="0" w:firstRowFirstColumn="0" w:firstRowLastColumn="0" w:lastRowFirstColumn="0" w:lastRowLastColumn="0"/>
              <w:rPr>
                <w:b/>
              </w:rPr>
            </w:pPr>
            <w:proofErr w:type="spellStart"/>
            <w:r w:rsidRPr="006D44DB">
              <w:rPr>
                <w:b/>
              </w:rPr>
              <w:t>Buttte</w:t>
            </w:r>
            <w:proofErr w:type="spellEnd"/>
          </w:p>
        </w:tc>
        <w:tc>
          <w:tcPr>
            <w:tcW w:w="1596" w:type="dxa"/>
          </w:tcPr>
          <w:p w:rsidR="006D44DB" w:rsidRPr="006D44DB" w:rsidRDefault="006D44DB" w:rsidP="006D44DB">
            <w:pPr>
              <w:spacing w:line="480" w:lineRule="auto"/>
              <w:cnfStyle w:val="000000100000" w:firstRow="0" w:lastRow="0" w:firstColumn="0" w:lastColumn="0" w:oddVBand="0" w:evenVBand="0" w:oddHBand="1" w:evenHBand="0" w:firstRowFirstColumn="0" w:firstRowLastColumn="0" w:lastRowFirstColumn="0" w:lastRowLastColumn="0"/>
              <w:rPr>
                <w:b/>
              </w:rPr>
            </w:pPr>
            <w:r w:rsidRPr="006D44DB">
              <w:rPr>
                <w:b/>
              </w:rPr>
              <w:t>Corson</w:t>
            </w:r>
          </w:p>
        </w:tc>
        <w:tc>
          <w:tcPr>
            <w:tcW w:w="1596" w:type="dxa"/>
          </w:tcPr>
          <w:p w:rsidR="006D44DB" w:rsidRPr="006D44DB" w:rsidRDefault="006D44DB" w:rsidP="006D44DB">
            <w:pPr>
              <w:spacing w:line="480" w:lineRule="auto"/>
              <w:cnfStyle w:val="000000100000" w:firstRow="0" w:lastRow="0" w:firstColumn="0" w:lastColumn="0" w:oddVBand="0" w:evenVBand="0" w:oddHBand="1" w:evenHBand="0" w:firstRowFirstColumn="0" w:firstRowLastColumn="0" w:lastRowFirstColumn="0" w:lastRowLastColumn="0"/>
              <w:rPr>
                <w:b/>
              </w:rPr>
            </w:pPr>
            <w:r w:rsidRPr="006D44DB">
              <w:rPr>
                <w:b/>
              </w:rPr>
              <w:t xml:space="preserve">Harding </w:t>
            </w:r>
          </w:p>
        </w:tc>
        <w:tc>
          <w:tcPr>
            <w:tcW w:w="1596" w:type="dxa"/>
          </w:tcPr>
          <w:p w:rsidR="006D44DB" w:rsidRPr="006D44DB" w:rsidRDefault="006D44DB" w:rsidP="006D44DB">
            <w:pPr>
              <w:spacing w:line="480" w:lineRule="auto"/>
              <w:cnfStyle w:val="000000100000" w:firstRow="0" w:lastRow="0" w:firstColumn="0" w:lastColumn="0" w:oddVBand="0" w:evenVBand="0" w:oddHBand="1" w:evenHBand="0" w:firstRowFirstColumn="0" w:firstRowLastColumn="0" w:lastRowFirstColumn="0" w:lastRowLastColumn="0"/>
              <w:rPr>
                <w:b/>
              </w:rPr>
            </w:pPr>
            <w:r w:rsidRPr="006D44DB">
              <w:rPr>
                <w:b/>
              </w:rPr>
              <w:t>Perkins</w:t>
            </w:r>
          </w:p>
        </w:tc>
        <w:tc>
          <w:tcPr>
            <w:tcW w:w="1596" w:type="dxa"/>
          </w:tcPr>
          <w:p w:rsidR="006D44DB" w:rsidRPr="006D44DB" w:rsidRDefault="006D44DB" w:rsidP="006D44DB">
            <w:pPr>
              <w:spacing w:line="480" w:lineRule="auto"/>
              <w:cnfStyle w:val="000000100000" w:firstRow="0" w:lastRow="0" w:firstColumn="0" w:lastColumn="0" w:oddVBand="0" w:evenVBand="0" w:oddHBand="1" w:evenHBand="0" w:firstRowFirstColumn="0" w:firstRowLastColumn="0" w:lastRowFirstColumn="0" w:lastRowLastColumn="0"/>
              <w:rPr>
                <w:b/>
              </w:rPr>
            </w:pPr>
            <w:r w:rsidRPr="006D44DB">
              <w:rPr>
                <w:b/>
              </w:rPr>
              <w:t>Shannon</w:t>
            </w:r>
          </w:p>
        </w:tc>
      </w:tr>
      <w:tr w:rsidR="006D44DB" w:rsidTr="006D44DB">
        <w:tc>
          <w:tcPr>
            <w:cnfStyle w:val="001000000000" w:firstRow="0" w:lastRow="0" w:firstColumn="1" w:lastColumn="0" w:oddVBand="0" w:evenVBand="0" w:oddHBand="0" w:evenHBand="0" w:firstRowFirstColumn="0" w:firstRowLastColumn="0" w:lastRowFirstColumn="0" w:lastRowLastColumn="0"/>
            <w:tcW w:w="1596" w:type="dxa"/>
          </w:tcPr>
          <w:p w:rsidR="006D44DB" w:rsidRPr="006D44DB" w:rsidRDefault="006D44DB" w:rsidP="006D44DB">
            <w:pPr>
              <w:spacing w:line="480" w:lineRule="auto"/>
            </w:pPr>
            <w:r w:rsidRPr="006D44DB">
              <w:t>21.9</w:t>
            </w:r>
          </w:p>
        </w:tc>
        <w:tc>
          <w:tcPr>
            <w:tcW w:w="1596" w:type="dxa"/>
          </w:tcPr>
          <w:p w:rsidR="006D44DB" w:rsidRPr="006D44DB" w:rsidRDefault="006D44DB" w:rsidP="006D44DB">
            <w:pPr>
              <w:spacing w:line="480" w:lineRule="auto"/>
              <w:cnfStyle w:val="000000000000" w:firstRow="0" w:lastRow="0" w:firstColumn="0" w:lastColumn="0" w:oddVBand="0" w:evenVBand="0" w:oddHBand="0" w:evenHBand="0" w:firstRowFirstColumn="0" w:firstRowLastColumn="0" w:lastRowFirstColumn="0" w:lastRowLastColumn="0"/>
              <w:rPr>
                <w:b/>
              </w:rPr>
            </w:pPr>
            <w:r w:rsidRPr="006D44DB">
              <w:rPr>
                <w:b/>
              </w:rPr>
              <w:t>24.8</w:t>
            </w:r>
          </w:p>
        </w:tc>
        <w:tc>
          <w:tcPr>
            <w:tcW w:w="1596" w:type="dxa"/>
          </w:tcPr>
          <w:p w:rsidR="006D44DB" w:rsidRPr="006D44DB" w:rsidRDefault="006D44DB" w:rsidP="006D44DB">
            <w:pPr>
              <w:spacing w:line="480" w:lineRule="auto"/>
              <w:cnfStyle w:val="000000000000" w:firstRow="0" w:lastRow="0" w:firstColumn="0" w:lastColumn="0" w:oddVBand="0" w:evenVBand="0" w:oddHBand="0" w:evenHBand="0" w:firstRowFirstColumn="0" w:firstRowLastColumn="0" w:lastRowFirstColumn="0" w:lastRowLastColumn="0"/>
              <w:rPr>
                <w:b/>
              </w:rPr>
            </w:pPr>
            <w:r w:rsidRPr="006D44DB">
              <w:rPr>
                <w:b/>
              </w:rPr>
              <w:t>77.5</w:t>
            </w:r>
          </w:p>
        </w:tc>
        <w:tc>
          <w:tcPr>
            <w:tcW w:w="1596" w:type="dxa"/>
          </w:tcPr>
          <w:p w:rsidR="006D44DB" w:rsidRPr="006D44DB" w:rsidRDefault="006D44DB" w:rsidP="006D44DB">
            <w:pPr>
              <w:spacing w:line="480" w:lineRule="auto"/>
              <w:cnfStyle w:val="000000000000" w:firstRow="0" w:lastRow="0" w:firstColumn="0" w:lastColumn="0" w:oddVBand="0" w:evenVBand="0" w:oddHBand="0" w:evenHBand="0" w:firstRowFirstColumn="0" w:firstRowLastColumn="0" w:lastRowFirstColumn="0" w:lastRowLastColumn="0"/>
              <w:rPr>
                <w:b/>
              </w:rPr>
            </w:pPr>
            <w:r w:rsidRPr="006D44DB">
              <w:rPr>
                <w:b/>
              </w:rPr>
              <w:t>N/A</w:t>
            </w:r>
          </w:p>
        </w:tc>
        <w:tc>
          <w:tcPr>
            <w:tcW w:w="1596" w:type="dxa"/>
          </w:tcPr>
          <w:p w:rsidR="006D44DB" w:rsidRPr="006D44DB" w:rsidRDefault="006D44DB" w:rsidP="006D44DB">
            <w:pPr>
              <w:spacing w:line="480" w:lineRule="auto"/>
              <w:cnfStyle w:val="000000000000" w:firstRow="0" w:lastRow="0" w:firstColumn="0" w:lastColumn="0" w:oddVBand="0" w:evenVBand="0" w:oddHBand="0" w:evenHBand="0" w:firstRowFirstColumn="0" w:firstRowLastColumn="0" w:lastRowFirstColumn="0" w:lastRowLastColumn="0"/>
              <w:rPr>
                <w:b/>
              </w:rPr>
            </w:pPr>
            <w:r w:rsidRPr="006D44DB">
              <w:rPr>
                <w:b/>
              </w:rPr>
              <w:t>24.4</w:t>
            </w:r>
          </w:p>
        </w:tc>
        <w:tc>
          <w:tcPr>
            <w:tcW w:w="1596" w:type="dxa"/>
          </w:tcPr>
          <w:p w:rsidR="006D44DB" w:rsidRPr="006D44DB" w:rsidRDefault="006D44DB" w:rsidP="006D44DB">
            <w:pPr>
              <w:spacing w:line="480" w:lineRule="auto"/>
              <w:cnfStyle w:val="000000000000" w:firstRow="0" w:lastRow="0" w:firstColumn="0" w:lastColumn="0" w:oddVBand="0" w:evenVBand="0" w:oddHBand="0" w:evenHBand="0" w:firstRowFirstColumn="0" w:firstRowLastColumn="0" w:lastRowFirstColumn="0" w:lastRowLastColumn="0"/>
              <w:rPr>
                <w:b/>
              </w:rPr>
            </w:pPr>
            <w:r w:rsidRPr="006D44DB">
              <w:rPr>
                <w:b/>
              </w:rPr>
              <w:t>39.6</w:t>
            </w:r>
          </w:p>
        </w:tc>
      </w:tr>
    </w:tbl>
    <w:p w:rsidR="00A650DF" w:rsidRPr="006D44DB" w:rsidRDefault="006D44DB" w:rsidP="006D44DB">
      <w:pPr>
        <w:spacing w:line="480" w:lineRule="auto"/>
        <w:jc w:val="center"/>
        <w:rPr>
          <w:b/>
        </w:rPr>
      </w:pPr>
      <w:r w:rsidRPr="006D44DB">
        <w:rPr>
          <w:b/>
        </w:rPr>
        <w:t>Figure 3.4</w:t>
      </w:r>
    </w:p>
    <w:p w:rsidR="00EE7CAF" w:rsidRDefault="00EE7CAF" w:rsidP="00EE7CAF">
      <w:pPr>
        <w:pStyle w:val="Heading2"/>
      </w:pPr>
      <w:bookmarkStart w:id="22" w:name="_Toc416269443"/>
      <w:r>
        <w:t>Social Services</w:t>
      </w:r>
      <w:bookmarkEnd w:id="22"/>
    </w:p>
    <w:p w:rsidR="00221735" w:rsidRDefault="00B07B86" w:rsidP="00C372D5">
      <w:pPr>
        <w:spacing w:line="480" w:lineRule="auto"/>
        <w:ind w:firstLine="720"/>
      </w:pPr>
      <w:r>
        <w:t>Social services play an im</w:t>
      </w:r>
      <w:r w:rsidR="00193EA8">
        <w:t>portant role in the live</w:t>
      </w:r>
      <w:r>
        <w:t xml:space="preserve">s of families that are served by TREC. From nutritional assistance to family referrals, </w:t>
      </w:r>
      <w:r w:rsidR="00755F53">
        <w:t>the impact of Social Services for TREC families is significant and helps day-to-day efforts.</w:t>
      </w:r>
      <w:r w:rsidR="00285374">
        <w:t xml:space="preserve"> </w:t>
      </w:r>
    </w:p>
    <w:p w:rsidR="009412B2" w:rsidRDefault="00221735" w:rsidP="00C372D5">
      <w:pPr>
        <w:spacing w:line="480" w:lineRule="auto"/>
        <w:ind w:firstLine="720"/>
      </w:pPr>
      <w:r>
        <w:t xml:space="preserve">Many of the families served by TREC receive some sort of benefit from agencies like the South Dakota Department of Social Services. </w:t>
      </w:r>
      <w:r w:rsidR="00E02EDE">
        <w:t>In fact, many families in the TREC program are receiving nutritional assistance from the Supplemental Nutrition Assistance Program (SNAP). This enables them to purchase nutritious food for their families without severely impacting their economic situation. In addition, the Women, Infants and Children (WIC) program administered by DSS provides mothers with extra help in purchasing essential food and baby items to make certain their children are receiving a well-balanced diet.</w:t>
      </w:r>
      <w:r w:rsidR="009412B2">
        <w:t xml:space="preserve"> </w:t>
      </w:r>
    </w:p>
    <w:p w:rsidR="009412B2" w:rsidRDefault="009412B2" w:rsidP="00C372D5">
      <w:pPr>
        <w:spacing w:line="480" w:lineRule="auto"/>
        <w:ind w:firstLine="720"/>
      </w:pPr>
      <w:r>
        <w:t xml:space="preserve">Let us be mindful that some of TREC’s families have fallen on very hard times. When this happens, DSS is able to help out by awarding Temporary Assistance to Needy Families (TANF). TANF benefits allow families the </w:t>
      </w:r>
      <w:r>
        <w:lastRenderedPageBreak/>
        <w:t>opportunity to get back on their feet and make ends meet in terms of finances, some child care, and work support or employment programs.</w:t>
      </w:r>
    </w:p>
    <w:p w:rsidR="00B26CFA" w:rsidRDefault="00E02EDE" w:rsidP="00C372D5">
      <w:pPr>
        <w:spacing w:line="480" w:lineRule="auto"/>
        <w:ind w:firstLine="720"/>
      </w:pPr>
      <w:r>
        <w:t xml:space="preserve"> </w:t>
      </w:r>
      <w:r w:rsidR="009412B2">
        <w:t>Child care can be on</w:t>
      </w:r>
      <w:r w:rsidR="00870BEE">
        <w:t xml:space="preserve">e of the most expensive parts </w:t>
      </w:r>
      <w:r w:rsidR="009412B2">
        <w:t xml:space="preserve">our families’ personal budget. DSS is available to help with this for growing families as well. They help subsidize child care expenses by providing financial assistance for families who qualify. </w:t>
      </w:r>
      <w:r w:rsidR="00B26CFA">
        <w:t>Probably talk about…</w:t>
      </w:r>
    </w:p>
    <w:p w:rsidR="0051362E" w:rsidRPr="00B0031F" w:rsidRDefault="00C372D5" w:rsidP="004E2A21">
      <w:pPr>
        <w:spacing w:line="480" w:lineRule="auto"/>
      </w:pPr>
      <w:r>
        <w:t>It is clear from the information presented above that TR</w:t>
      </w:r>
      <w:r w:rsidR="00870BEE">
        <w:t>EC and its families rely on DSS</w:t>
      </w:r>
      <w:r>
        <w:t xml:space="preserve"> and other social service organizations in order to help them get a step ahead. In addition, DSS and other goodwill organizations can help ease financial burdens for goods and services that are expensive in any household budget. Later on in the assessment, detailed data are presented to help one understand how integral social service organizations are to families in need.</w:t>
      </w:r>
    </w:p>
    <w:p w:rsidR="0073482A" w:rsidRDefault="0073482A" w:rsidP="0073482A">
      <w:pPr>
        <w:pStyle w:val="Heading2"/>
      </w:pPr>
      <w:bookmarkStart w:id="23" w:name="_Toc416269444"/>
      <w:r>
        <w:t>Conclusions</w:t>
      </w:r>
      <w:bookmarkEnd w:id="23"/>
    </w:p>
    <w:p w:rsidR="0051362E" w:rsidRDefault="0051362E" w:rsidP="00F000B2">
      <w:pPr>
        <w:spacing w:line="480" w:lineRule="auto"/>
        <w:ind w:firstLine="720"/>
      </w:pPr>
      <w:r>
        <w:t xml:space="preserve">Education is only part of the comprehensive Head Start program. However, with respect to education, it is rather obvious that TREC must focus diligently on all aspects. In other words, we must improve on the social-emotional and developmental aspects of a child’s education. Meeting expectations is simply not good enough. In addition, mathematics and literacy will also require close attention. The data above show us that, although K-12 students in our region do fairly well, there is room for improvement. The service area needs more attention placed on academic and developmental aspects of our program. </w:t>
      </w:r>
    </w:p>
    <w:p w:rsidR="0051362E" w:rsidRDefault="0051362E" w:rsidP="00F000B2">
      <w:pPr>
        <w:spacing w:line="480" w:lineRule="auto"/>
      </w:pPr>
      <w:r>
        <w:tab/>
        <w:t>Second, Health and Nutrition play an important role in the physical development and mental well-being of the children in our region. Making certain children are at healthy weights with minimal health concerns means we have students in the classroom who a healthy and ready to learn. As an organization, the data tell us we have needs in our region and must improve on our services to those children and families related to health and nutrition. This may mean beefing up partnerships and developing more robust programming related to health and nutrition. This will ensure our students enter the classroom in good health, well nourished, and ready to excel.</w:t>
      </w:r>
    </w:p>
    <w:p w:rsidR="0051362E" w:rsidRDefault="0051362E" w:rsidP="00F000B2">
      <w:pPr>
        <w:spacing w:line="480" w:lineRule="auto"/>
        <w:ind w:firstLine="720"/>
      </w:pPr>
      <w:r>
        <w:lastRenderedPageBreak/>
        <w:t xml:space="preserve">Last, Social Service programs provide help when families fall on hard times. Data on SNAP/TANF recipients tell us that this is still a need in our region. In turn, our partnership with local Social Service agencies becomes crucial. In addition, because there are many families receiving traditional social service benefits, it points out the need for possible child care assistance. Ultimately, it could be a goal for TREC to </w:t>
      </w:r>
      <w:r w:rsidR="00F000B2">
        <w:t>work on applying for a Child Care Partnership in order to provide quality, affordable care in our communities.</w:t>
      </w:r>
      <w:r>
        <w:t xml:space="preserve">  </w:t>
      </w:r>
    </w:p>
    <w:p w:rsidR="00F000B2" w:rsidRPr="0051362E" w:rsidRDefault="00F000B2" w:rsidP="00F000B2">
      <w:pPr>
        <w:spacing w:line="480" w:lineRule="auto"/>
        <w:ind w:firstLine="720"/>
      </w:pPr>
      <w:r>
        <w:t xml:space="preserve">To summarize, the needs in our service area are plentiful. Education must be worked on in a way that uses data to further individualize instruction. In addition, using measures of growth will help us determine progress of our students and make course corrections when needed. Health and nutrition prepares our children to be successful in the classroom. As explained, more robust planning and options should be presented to meet needs. Families also need to understand the importance of hygiene and preventative healthcare. </w:t>
      </w:r>
      <w:proofErr w:type="gramStart"/>
      <w:r>
        <w:t>Social services is</w:t>
      </w:r>
      <w:proofErr w:type="gramEnd"/>
      <w:r>
        <w:t xml:space="preserve"> really the glue that holds everything together. The families’ livelihood needs are addressed by a number of social service programs and partners. We must continue to cultivate the relationships with our partners and offer the children and families as much as possible.</w:t>
      </w:r>
    </w:p>
    <w:p w:rsidR="00EE7CAF" w:rsidRDefault="00EE7CAF" w:rsidP="00EE7CAF"/>
    <w:p w:rsidR="00AD1FD2" w:rsidRDefault="00AD1FD2" w:rsidP="00AD1FD2">
      <w:pPr>
        <w:pStyle w:val="Heading1"/>
      </w:pPr>
      <w:bookmarkStart w:id="24" w:name="_Toc416269445"/>
      <w:r>
        <w:t>Community Resources (Partnerships)</w:t>
      </w:r>
      <w:bookmarkEnd w:id="24"/>
    </w:p>
    <w:p w:rsidR="001E6C5B" w:rsidRDefault="00725DCE" w:rsidP="00280048">
      <w:pPr>
        <w:spacing w:line="480" w:lineRule="auto"/>
        <w:ind w:firstLine="720"/>
      </w:pPr>
      <w:r>
        <w:t>Community resources and partnerships are the engine that makes Head Start and Early Head Start successful in many of the communities we serve. TREC has take</w:t>
      </w:r>
      <w:r w:rsidR="00F14D65">
        <w:t>n a very holistic approach to pa</w:t>
      </w:r>
      <w:r>
        <w:t>r</w:t>
      </w:r>
      <w:r w:rsidR="00F14D65">
        <w:t>t</w:t>
      </w:r>
      <w:r>
        <w:t>nering with community organizations in order to bolster our families knowledge base on certain topics, develop skillsets for successful living, and establish models of behavior that encourage growth and change within t</w:t>
      </w:r>
      <w:r w:rsidR="00AE5CDD">
        <w:t xml:space="preserve">he families and the community. </w:t>
      </w:r>
      <w:r w:rsidR="001E6C5B">
        <w:t xml:space="preserve">We shall address this section in a manner that explains each area that Head Start and Early Head Start focuses on when educating and nurturing the physical and emotional development of the children who call our classroom and services home. </w:t>
      </w:r>
    </w:p>
    <w:p w:rsidR="0029321A" w:rsidRDefault="0029321A" w:rsidP="0029321A">
      <w:pPr>
        <w:pStyle w:val="Heading3"/>
      </w:pPr>
      <w:bookmarkStart w:id="25" w:name="_Toc416269446"/>
      <w:r>
        <w:t>Education</w:t>
      </w:r>
      <w:bookmarkEnd w:id="25"/>
    </w:p>
    <w:p w:rsidR="001E6C5B" w:rsidRDefault="001E6C5B" w:rsidP="00280048">
      <w:pPr>
        <w:spacing w:line="480" w:lineRule="auto"/>
        <w:ind w:firstLine="720"/>
      </w:pPr>
      <w:r>
        <w:t>First, let us discuss education. TREC’s Head Start and Early Head Start</w:t>
      </w:r>
      <w:r w:rsidR="008149EF">
        <w:t xml:space="preserve"> education successes are dependent upon local partners aiding in services to our children. To put it simply, without our partners help, our programs </w:t>
      </w:r>
      <w:r w:rsidR="008149EF">
        <w:lastRenderedPageBreak/>
        <w:t xml:space="preserve">would be much less successful. In regards to education, TREC currently partners with Local Education Agencies (LEAs) in a majority of the counties where services are provided. The aid delivered by LEAs </w:t>
      </w:r>
      <w:proofErr w:type="spellStart"/>
      <w:r w:rsidR="008149EF">
        <w:t>forcuses</w:t>
      </w:r>
      <w:proofErr w:type="spellEnd"/>
      <w:r w:rsidR="008149EF">
        <w:t xml:space="preserve"> largely around the area of Special Education. </w:t>
      </w:r>
      <w:r w:rsidR="008B42E9">
        <w:t xml:space="preserve">LEAs also provide on-site programming for students receiving Special Education services. </w:t>
      </w:r>
      <w:r w:rsidR="008149EF">
        <w:t xml:space="preserve">TREC has been able to work in concert with the LEAs to determine individual needs of children and tailor lessons and programming around the students. It is the </w:t>
      </w:r>
      <w:r w:rsidR="0029321A">
        <w:t>essence</w:t>
      </w:r>
      <w:r w:rsidR="008149EF">
        <w:t xml:space="preserve"> of what Head Start programming should be. </w:t>
      </w:r>
      <w:r w:rsidR="008B42E9">
        <w:t xml:space="preserve">In addition to helping Students with Disabilities, the LEAs work with TREC to share resources and provide some training for our staff and Head Start/Early Head Start parents. </w:t>
      </w:r>
      <w:r w:rsidR="0029321A">
        <w:t xml:space="preserve">These partnerships are all solidified with a Memorandum of Agreement (MOA). Although some Special Education services are covered in our agreements with LEAs, the comprehensive partnerships are not there. </w:t>
      </w:r>
    </w:p>
    <w:p w:rsidR="0029321A" w:rsidRDefault="0029321A" w:rsidP="0029321A">
      <w:pPr>
        <w:pStyle w:val="Heading3"/>
      </w:pPr>
      <w:bookmarkStart w:id="26" w:name="_Toc416269447"/>
      <w:r>
        <w:t>Students with Disabilities</w:t>
      </w:r>
      <w:bookmarkEnd w:id="26"/>
    </w:p>
    <w:p w:rsidR="0029321A" w:rsidRDefault="0029321A" w:rsidP="00280048">
      <w:pPr>
        <w:spacing w:line="480" w:lineRule="auto"/>
        <w:ind w:firstLine="720"/>
      </w:pPr>
      <w:r>
        <w:t xml:space="preserve">To fill the gap for Students with Disabilities, additional partnerships were needed. TREC supplements LEA help with aid from other organizations. In each area of our service region </w:t>
      </w:r>
      <w:r w:rsidR="00870BEE">
        <w:t xml:space="preserve">s, </w:t>
      </w:r>
      <w:r>
        <w:t xml:space="preserve">TREC has MOAs outlining the terms of service between TREC and a Birth </w:t>
      </w:r>
      <w:proofErr w:type="gramStart"/>
      <w:r>
        <w:t>To</w:t>
      </w:r>
      <w:proofErr w:type="gramEnd"/>
      <w:r>
        <w:t xml:space="preserve"> Three provider. Traditionally, Birth to Three providers have focused on Students with Disabilities. Because of its geographic span, TREC has four providers</w:t>
      </w:r>
      <w:r>
        <w:rPr>
          <w:rStyle w:val="FootnoteReference"/>
        </w:rPr>
        <w:footnoteReference w:id="5"/>
      </w:r>
      <w:r>
        <w:t xml:space="preserve"> that have agreed to help students in varying capacities.</w:t>
      </w:r>
      <w:r w:rsidR="00F229C7">
        <w:t xml:space="preserve"> For example, currently the Birth to Three agencies </w:t>
      </w:r>
      <w:proofErr w:type="gramStart"/>
      <w:r w:rsidR="00F229C7">
        <w:t>are</w:t>
      </w:r>
      <w:proofErr w:type="gramEnd"/>
      <w:r w:rsidR="00F229C7">
        <w:t xml:space="preserve"> helping us with extended services to enrolled children in their natural environment (child’s home). In addition, Birth to Three providers </w:t>
      </w:r>
      <w:proofErr w:type="gramStart"/>
      <w:r w:rsidR="00F229C7">
        <w:t>collaborate</w:t>
      </w:r>
      <w:proofErr w:type="gramEnd"/>
      <w:r w:rsidR="00F229C7">
        <w:t xml:space="preserve"> with TREC on child screenings, multidisciplinary evaluations, and direct services. In short, the providers help with an area that TREC and the LEAs do not have the capacit</w:t>
      </w:r>
      <w:r w:rsidR="00870BEE">
        <w:t>y to fully handle. Without them,</w:t>
      </w:r>
      <w:r w:rsidR="00F229C7">
        <w:t xml:space="preserve"> TREC children would not have the level of quality needed for this special population. </w:t>
      </w:r>
    </w:p>
    <w:p w:rsidR="00F229C7" w:rsidRDefault="00CC5906" w:rsidP="00F229C7">
      <w:pPr>
        <w:pStyle w:val="Heading3"/>
      </w:pPr>
      <w:bookmarkStart w:id="27" w:name="_Toc416269448"/>
      <w:r>
        <w:t>Health and Dental Partners</w:t>
      </w:r>
      <w:bookmarkEnd w:id="27"/>
    </w:p>
    <w:p w:rsidR="00CC5906" w:rsidRDefault="00CC5906" w:rsidP="00280048">
      <w:pPr>
        <w:spacing w:line="480" w:lineRule="auto"/>
        <w:ind w:firstLine="720"/>
      </w:pPr>
      <w:r>
        <w:t>As mentioned in a prior section, a healthy body is the foundation of a healthy mind. In other words, to maximize the TREC’s educational outcomes, the children we serve must be healthy. Because TREC is not a licensed medical provider, we rely heavily o</w:t>
      </w:r>
      <w:r w:rsidR="00D7411E">
        <w:t>n several organizations to issue</w:t>
      </w:r>
      <w:r>
        <w:t xml:space="preserve"> dental and health services to families receiving Head Start and Early Head Start services through TREC. </w:t>
      </w:r>
    </w:p>
    <w:p w:rsidR="00193EA8" w:rsidRDefault="00193EA8" w:rsidP="00280048">
      <w:pPr>
        <w:spacing w:line="480" w:lineRule="auto"/>
        <w:ind w:firstLine="720"/>
      </w:pPr>
      <w:r>
        <w:lastRenderedPageBreak/>
        <w:t xml:space="preserve">Currently, TREC has many partners in our communities that assist </w:t>
      </w:r>
      <w:r w:rsidR="00280048">
        <w:t>families</w:t>
      </w:r>
      <w:r>
        <w:t xml:space="preserve"> with medical and dental services at little or no cost to the family. It is especially important to have strong working relationships with the medical and dental community. Our children’s well-being depends on the availability of services at a rate that does not place them deeper in poverty. </w:t>
      </w:r>
    </w:p>
    <w:p w:rsidR="00193EA8" w:rsidRDefault="00193EA8" w:rsidP="0015587E">
      <w:pPr>
        <w:spacing w:line="480" w:lineRule="auto"/>
      </w:pPr>
      <w:r>
        <w:t xml:space="preserve">Below is a table that accounts for our medical and dental partners in the communities we serve. In addition, the cost of services is also documented to illustrate how they are helping families from a cost standpoint: </w:t>
      </w:r>
    </w:p>
    <w:tbl>
      <w:tblPr>
        <w:tblStyle w:val="LightList-Accent1"/>
        <w:tblW w:w="9195" w:type="dxa"/>
        <w:tblLook w:val="04A0" w:firstRow="1" w:lastRow="0" w:firstColumn="1" w:lastColumn="0" w:noHBand="0" w:noVBand="1"/>
      </w:tblPr>
      <w:tblGrid>
        <w:gridCol w:w="2175"/>
        <w:gridCol w:w="1620"/>
        <w:gridCol w:w="1176"/>
        <w:gridCol w:w="3054"/>
        <w:gridCol w:w="1170"/>
      </w:tblGrid>
      <w:tr w:rsidR="00280048" w:rsidRPr="00280048" w:rsidTr="00961C0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FFFFFF"/>
                <w:sz w:val="22"/>
                <w:szCs w:val="22"/>
              </w:rPr>
            </w:pPr>
            <w:r w:rsidRPr="00280048">
              <w:rPr>
                <w:rFonts w:ascii="Calibri" w:eastAsia="Times New Roman" w:hAnsi="Calibri" w:cs="Calibri"/>
                <w:color w:val="FFFFFF"/>
                <w:sz w:val="22"/>
                <w:szCs w:val="22"/>
              </w:rPr>
              <w:t>Provider</w:t>
            </w:r>
          </w:p>
        </w:tc>
        <w:tc>
          <w:tcPr>
            <w:tcW w:w="1620" w:type="dxa"/>
            <w:noWrap/>
            <w:hideMark/>
          </w:tcPr>
          <w:p w:rsidR="00280048" w:rsidRPr="00280048" w:rsidRDefault="00280048" w:rsidP="0028004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280048">
              <w:rPr>
                <w:rFonts w:ascii="Calibri" w:eastAsia="Times New Roman" w:hAnsi="Calibri" w:cs="Calibri"/>
                <w:color w:val="FFFFFF"/>
                <w:sz w:val="22"/>
                <w:szCs w:val="22"/>
              </w:rPr>
              <w:t>County</w:t>
            </w:r>
          </w:p>
        </w:tc>
        <w:tc>
          <w:tcPr>
            <w:tcW w:w="1176" w:type="dxa"/>
            <w:noWrap/>
            <w:hideMark/>
          </w:tcPr>
          <w:p w:rsidR="00280048" w:rsidRPr="00280048" w:rsidRDefault="00280048" w:rsidP="0028004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280048">
              <w:rPr>
                <w:rFonts w:ascii="Calibri" w:eastAsia="Times New Roman" w:hAnsi="Calibri" w:cs="Calibri"/>
                <w:color w:val="FFFFFF"/>
                <w:sz w:val="22"/>
                <w:szCs w:val="22"/>
              </w:rPr>
              <w:t>Profession</w:t>
            </w:r>
          </w:p>
        </w:tc>
        <w:tc>
          <w:tcPr>
            <w:tcW w:w="3054" w:type="dxa"/>
            <w:noWrap/>
            <w:hideMark/>
          </w:tcPr>
          <w:p w:rsidR="00280048" w:rsidRPr="00280048" w:rsidRDefault="00280048" w:rsidP="0028004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280048">
              <w:rPr>
                <w:rFonts w:ascii="Calibri" w:eastAsia="Times New Roman" w:hAnsi="Calibri" w:cs="Calibri"/>
                <w:color w:val="FFFFFF"/>
                <w:sz w:val="22"/>
                <w:szCs w:val="22"/>
              </w:rPr>
              <w:t>Services Provided</w:t>
            </w:r>
          </w:p>
        </w:tc>
        <w:tc>
          <w:tcPr>
            <w:tcW w:w="1170" w:type="dxa"/>
            <w:noWrap/>
            <w:hideMark/>
          </w:tcPr>
          <w:p w:rsidR="00280048" w:rsidRPr="00280048" w:rsidRDefault="00280048" w:rsidP="0028004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sz w:val="22"/>
                <w:szCs w:val="22"/>
              </w:rPr>
            </w:pPr>
            <w:r w:rsidRPr="00280048">
              <w:rPr>
                <w:rFonts w:ascii="Calibri" w:eastAsia="Times New Roman" w:hAnsi="Calibri" w:cs="Calibri"/>
                <w:color w:val="FFFFFF"/>
                <w:sz w:val="22"/>
                <w:szCs w:val="22"/>
              </w:rPr>
              <w:t>Cost</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Jackson Dental Clinic</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Butte</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 Screenings</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r w:rsidR="00280048" w:rsidRPr="00280048" w:rsidTr="00961C0C">
        <w:trPr>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Circle of Smiles</w:t>
            </w:r>
          </w:p>
        </w:tc>
        <w:tc>
          <w:tcPr>
            <w:tcW w:w="162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Shannon and Bennett</w:t>
            </w:r>
          </w:p>
        </w:tc>
        <w:tc>
          <w:tcPr>
            <w:tcW w:w="1176"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 xml:space="preserve">Dental </w:t>
            </w:r>
          </w:p>
        </w:tc>
        <w:tc>
          <w:tcPr>
            <w:tcW w:w="3054"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Cleaning, Fluoride, and Screening</w:t>
            </w:r>
          </w:p>
        </w:tc>
        <w:tc>
          <w:tcPr>
            <w:tcW w:w="117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Black Hills Pediatrics</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All Counties</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Exams, Cleaning, Screening, Dental Surgery, Fluoride</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Insurance, Medicaid</w:t>
            </w:r>
          </w:p>
        </w:tc>
      </w:tr>
      <w:tr w:rsidR="00280048" w:rsidRPr="00280048" w:rsidTr="00961C0C">
        <w:trPr>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proofErr w:type="spellStart"/>
            <w:r w:rsidRPr="00280048">
              <w:rPr>
                <w:rFonts w:ascii="Calibri" w:eastAsia="Times New Roman" w:hAnsi="Calibri" w:cs="Calibri"/>
                <w:color w:val="000000"/>
                <w:sz w:val="22"/>
                <w:szCs w:val="22"/>
              </w:rPr>
              <w:t>Nehl</w:t>
            </w:r>
            <w:proofErr w:type="spellEnd"/>
            <w:r w:rsidRPr="00280048">
              <w:rPr>
                <w:rFonts w:ascii="Calibri" w:eastAsia="Times New Roman" w:hAnsi="Calibri" w:cs="Calibri"/>
                <w:color w:val="000000"/>
                <w:sz w:val="22"/>
                <w:szCs w:val="22"/>
              </w:rPr>
              <w:t xml:space="preserve"> Dental Clinic</w:t>
            </w:r>
          </w:p>
        </w:tc>
        <w:tc>
          <w:tcPr>
            <w:tcW w:w="162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Butte</w:t>
            </w:r>
          </w:p>
        </w:tc>
        <w:tc>
          <w:tcPr>
            <w:tcW w:w="1176"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w:t>
            </w:r>
          </w:p>
        </w:tc>
        <w:tc>
          <w:tcPr>
            <w:tcW w:w="3054"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Exams, Cleaning, Fluoride</w:t>
            </w:r>
          </w:p>
        </w:tc>
        <w:tc>
          <w:tcPr>
            <w:tcW w:w="117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Medicaid</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Delta Dental</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Harding and Perkins</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Fluoride and Dental Education</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r w:rsidR="00280048" w:rsidRPr="00280048" w:rsidTr="00961C0C">
        <w:trPr>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 Bus</w:t>
            </w:r>
          </w:p>
        </w:tc>
        <w:tc>
          <w:tcPr>
            <w:tcW w:w="162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All Counties</w:t>
            </w:r>
          </w:p>
        </w:tc>
        <w:tc>
          <w:tcPr>
            <w:tcW w:w="1176"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Dental</w:t>
            </w:r>
          </w:p>
        </w:tc>
        <w:tc>
          <w:tcPr>
            <w:tcW w:w="3054"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Fluoride, Cleaning, Exams, Treatment</w:t>
            </w:r>
          </w:p>
        </w:tc>
        <w:tc>
          <w:tcPr>
            <w:tcW w:w="117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F863C3" w:rsidP="00280048">
            <w:pPr>
              <w:rPr>
                <w:rFonts w:ascii="Calibri" w:eastAsia="Times New Roman" w:hAnsi="Calibri" w:cs="Calibri"/>
                <w:color w:val="000000"/>
                <w:sz w:val="22"/>
                <w:szCs w:val="22"/>
              </w:rPr>
            </w:pPr>
            <w:r>
              <w:rPr>
                <w:rFonts w:ascii="Calibri" w:eastAsia="Times New Roman" w:hAnsi="Calibri" w:cs="Calibri"/>
                <w:color w:val="000000"/>
                <w:sz w:val="22"/>
                <w:szCs w:val="22"/>
              </w:rPr>
              <w:t>Horizon Health Care</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Shannon and Bennett</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Physicals</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r w:rsidR="00280048" w:rsidRPr="00280048" w:rsidTr="00961C0C">
        <w:trPr>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Bennett Community Health</w:t>
            </w:r>
          </w:p>
        </w:tc>
        <w:tc>
          <w:tcPr>
            <w:tcW w:w="162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Bennett</w:t>
            </w:r>
          </w:p>
        </w:tc>
        <w:tc>
          <w:tcPr>
            <w:tcW w:w="1176"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Physicals</w:t>
            </w:r>
          </w:p>
        </w:tc>
        <w:tc>
          <w:tcPr>
            <w:tcW w:w="117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Medicaid</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Regional Medical Clinic</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 xml:space="preserve">Harding </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Physicals, Lead tests, Hemoglobin</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r w:rsidR="00280048" w:rsidRPr="00280048" w:rsidTr="00961C0C">
        <w:trPr>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Lemmon Clinic</w:t>
            </w:r>
          </w:p>
        </w:tc>
        <w:tc>
          <w:tcPr>
            <w:tcW w:w="162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Perkins</w:t>
            </w:r>
          </w:p>
        </w:tc>
        <w:tc>
          <w:tcPr>
            <w:tcW w:w="1176"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Physicals</w:t>
            </w:r>
          </w:p>
        </w:tc>
        <w:tc>
          <w:tcPr>
            <w:tcW w:w="117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Reduced Cost</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Regional Medical Clinic</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Butte</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Physicals</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Medicaid, Insurance</w:t>
            </w:r>
          </w:p>
        </w:tc>
      </w:tr>
      <w:tr w:rsidR="00280048" w:rsidRPr="00280048" w:rsidTr="00961C0C">
        <w:trPr>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Regional Medical Clinic</w:t>
            </w:r>
          </w:p>
        </w:tc>
        <w:tc>
          <w:tcPr>
            <w:tcW w:w="162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Lawrence</w:t>
            </w:r>
          </w:p>
        </w:tc>
        <w:tc>
          <w:tcPr>
            <w:tcW w:w="1176"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Physicals, Lead tests, Hemoglobin</w:t>
            </w:r>
          </w:p>
        </w:tc>
        <w:tc>
          <w:tcPr>
            <w:tcW w:w="1170" w:type="dxa"/>
            <w:noWrap/>
            <w:hideMark/>
          </w:tcPr>
          <w:p w:rsidR="00280048" w:rsidRPr="00280048" w:rsidRDefault="00280048" w:rsidP="0028004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Medicaid, Insurance</w:t>
            </w:r>
          </w:p>
        </w:tc>
      </w:tr>
      <w:tr w:rsidR="00280048" w:rsidRPr="00280048" w:rsidTr="00961C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5" w:type="dxa"/>
            <w:noWrap/>
            <w:hideMark/>
          </w:tcPr>
          <w:p w:rsidR="00280048" w:rsidRPr="00280048" w:rsidRDefault="00280048" w:rsidP="00280048">
            <w:pPr>
              <w:rPr>
                <w:rFonts w:ascii="Calibri" w:eastAsia="Times New Roman" w:hAnsi="Calibri" w:cs="Calibri"/>
                <w:color w:val="000000"/>
                <w:sz w:val="22"/>
                <w:szCs w:val="22"/>
              </w:rPr>
            </w:pPr>
            <w:r w:rsidRPr="00280048">
              <w:rPr>
                <w:rFonts w:ascii="Calibri" w:eastAsia="Times New Roman" w:hAnsi="Calibri" w:cs="Calibri"/>
                <w:color w:val="000000"/>
                <w:sz w:val="22"/>
                <w:szCs w:val="22"/>
              </w:rPr>
              <w:t>Hearing for the Deaf</w:t>
            </w:r>
          </w:p>
        </w:tc>
        <w:tc>
          <w:tcPr>
            <w:tcW w:w="162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All Counties</w:t>
            </w:r>
          </w:p>
        </w:tc>
        <w:tc>
          <w:tcPr>
            <w:tcW w:w="1176"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Medical</w:t>
            </w:r>
          </w:p>
        </w:tc>
        <w:tc>
          <w:tcPr>
            <w:tcW w:w="3054"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Hearing Screening</w:t>
            </w:r>
          </w:p>
        </w:tc>
        <w:tc>
          <w:tcPr>
            <w:tcW w:w="1170" w:type="dxa"/>
            <w:noWrap/>
            <w:hideMark/>
          </w:tcPr>
          <w:p w:rsidR="00280048" w:rsidRPr="00280048" w:rsidRDefault="00280048" w:rsidP="0028004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rPr>
            </w:pPr>
            <w:r w:rsidRPr="00280048">
              <w:rPr>
                <w:rFonts w:ascii="Calibri" w:eastAsia="Times New Roman" w:hAnsi="Calibri" w:cs="Calibri"/>
                <w:color w:val="000000"/>
                <w:sz w:val="22"/>
                <w:szCs w:val="22"/>
              </w:rPr>
              <w:t>Free</w:t>
            </w:r>
          </w:p>
        </w:tc>
      </w:tr>
    </w:tbl>
    <w:p w:rsidR="00193EA8" w:rsidRDefault="00193EA8" w:rsidP="00961C0C">
      <w:pPr>
        <w:spacing w:before="0" w:line="480" w:lineRule="auto"/>
      </w:pPr>
    </w:p>
    <w:p w:rsidR="00C372D5" w:rsidRDefault="00ED3AEC" w:rsidP="007F6698">
      <w:pPr>
        <w:spacing w:before="0" w:line="480" w:lineRule="auto"/>
        <w:ind w:firstLine="720"/>
      </w:pPr>
      <w:r>
        <w:t xml:space="preserve">Aside from the healthcare agencies, mental and behavioral health organizations offer partnership to our families in TREC programs that require their services and expertise. Specifically, TREC partners with IHS Behavioral Health and Behavior Management Systems for families </w:t>
      </w:r>
      <w:r w:rsidR="00A762ED">
        <w:t>who are seeking crisis management and mental health services.</w:t>
      </w:r>
    </w:p>
    <w:p w:rsidR="002D6497" w:rsidRDefault="002D6497" w:rsidP="002D6497">
      <w:pPr>
        <w:pStyle w:val="Heading3"/>
      </w:pPr>
      <w:bookmarkStart w:id="28" w:name="_Toc416269449"/>
      <w:r>
        <w:lastRenderedPageBreak/>
        <w:t>Social Service Partners</w:t>
      </w:r>
      <w:bookmarkEnd w:id="28"/>
    </w:p>
    <w:p w:rsidR="00C372D5" w:rsidRDefault="00CB2818" w:rsidP="00141F94">
      <w:pPr>
        <w:spacing w:line="480" w:lineRule="auto"/>
        <w:ind w:firstLine="720"/>
      </w:pPr>
      <w:r>
        <w:t xml:space="preserve">As indicated in a prior section, Social Services are integral to our operations. TREC can provide much in terms of educational programming, referring for services, and teaching families new routines. However, it takes entire community and state efforts to foster the type of comprehensive change Head Start envisions. This is where our Social Service partners enter the equation. Currently, TREC partners with a number of Social Service providers. The services provided to families </w:t>
      </w:r>
      <w:r w:rsidR="005918D7">
        <w:t>range from providing cash benefits to assisting with food and child care services. Our partners, which are listed below, really help our families to make ends meet and become successful in other life endeavors.</w:t>
      </w:r>
    </w:p>
    <w:tbl>
      <w:tblPr>
        <w:tblStyle w:val="LightList-Accent1"/>
        <w:tblW w:w="0" w:type="auto"/>
        <w:tblLook w:val="04A0" w:firstRow="1" w:lastRow="0" w:firstColumn="1" w:lastColumn="0" w:noHBand="0" w:noVBand="1"/>
      </w:tblPr>
      <w:tblGrid>
        <w:gridCol w:w="3192"/>
        <w:gridCol w:w="3192"/>
        <w:gridCol w:w="3192"/>
      </w:tblGrid>
      <w:tr w:rsidR="00ED3AEC" w:rsidTr="00ED3A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D3AEC" w:rsidRDefault="00ED3AEC" w:rsidP="00C372D5">
            <w:r>
              <w:t>Entity</w:t>
            </w:r>
          </w:p>
        </w:tc>
        <w:tc>
          <w:tcPr>
            <w:tcW w:w="3192" w:type="dxa"/>
          </w:tcPr>
          <w:p w:rsidR="00ED3AEC" w:rsidRDefault="00ED3AEC" w:rsidP="00C372D5">
            <w:pPr>
              <w:cnfStyle w:val="100000000000" w:firstRow="1" w:lastRow="0" w:firstColumn="0" w:lastColumn="0" w:oddVBand="0" w:evenVBand="0" w:oddHBand="0" w:evenHBand="0" w:firstRowFirstColumn="0" w:firstRowLastColumn="0" w:lastRowFirstColumn="0" w:lastRowLastColumn="0"/>
            </w:pPr>
            <w:r>
              <w:t>Counties Served</w:t>
            </w:r>
          </w:p>
        </w:tc>
        <w:tc>
          <w:tcPr>
            <w:tcW w:w="3192" w:type="dxa"/>
          </w:tcPr>
          <w:p w:rsidR="00ED3AEC" w:rsidRDefault="00ED3AEC" w:rsidP="00C372D5">
            <w:pPr>
              <w:cnfStyle w:val="100000000000" w:firstRow="1" w:lastRow="0" w:firstColumn="0" w:lastColumn="0" w:oddVBand="0" w:evenVBand="0" w:oddHBand="0" w:evenHBand="0" w:firstRowFirstColumn="0" w:firstRowLastColumn="0" w:lastRowFirstColumn="0" w:lastRowLastColumn="0"/>
            </w:pPr>
            <w:r>
              <w:t>Services</w:t>
            </w:r>
          </w:p>
        </w:tc>
      </w:tr>
      <w:tr w:rsidR="00ED3AEC" w:rsidTr="00ED3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D3AEC" w:rsidRDefault="00ED3AEC" w:rsidP="00C372D5">
            <w:r>
              <w:t>Department of Social Services</w:t>
            </w:r>
          </w:p>
        </w:tc>
        <w:tc>
          <w:tcPr>
            <w:tcW w:w="3192" w:type="dxa"/>
          </w:tcPr>
          <w:p w:rsidR="00ED3AEC" w:rsidRDefault="00A762ED" w:rsidP="00C372D5">
            <w:pPr>
              <w:cnfStyle w:val="000000100000" w:firstRow="0" w:lastRow="0" w:firstColumn="0" w:lastColumn="0" w:oddVBand="0" w:evenVBand="0" w:oddHBand="1" w:evenHBand="0" w:firstRowFirstColumn="0" w:firstRowLastColumn="0" w:lastRowFirstColumn="0" w:lastRowLastColumn="0"/>
            </w:pPr>
            <w:r>
              <w:t>All</w:t>
            </w:r>
          </w:p>
        </w:tc>
        <w:tc>
          <w:tcPr>
            <w:tcW w:w="3192" w:type="dxa"/>
          </w:tcPr>
          <w:p w:rsidR="00ED3AEC" w:rsidRDefault="00A762ED" w:rsidP="00C372D5">
            <w:pPr>
              <w:cnfStyle w:val="000000100000" w:firstRow="0" w:lastRow="0" w:firstColumn="0" w:lastColumn="0" w:oddVBand="0" w:evenVBand="0" w:oddHBand="1" w:evenHBand="0" w:firstRowFirstColumn="0" w:firstRowLastColumn="0" w:lastRowFirstColumn="0" w:lastRowLastColumn="0"/>
            </w:pPr>
            <w:r>
              <w:t>SNAP/TANF</w:t>
            </w:r>
          </w:p>
        </w:tc>
      </w:tr>
      <w:tr w:rsidR="00ED3AEC" w:rsidTr="00ED3AEC">
        <w:tc>
          <w:tcPr>
            <w:cnfStyle w:val="001000000000" w:firstRow="0" w:lastRow="0" w:firstColumn="1" w:lastColumn="0" w:oddVBand="0" w:evenVBand="0" w:oddHBand="0" w:evenHBand="0" w:firstRowFirstColumn="0" w:firstRowLastColumn="0" w:lastRowFirstColumn="0" w:lastRowLastColumn="0"/>
            <w:tcW w:w="3192" w:type="dxa"/>
          </w:tcPr>
          <w:p w:rsidR="00ED3AEC" w:rsidRDefault="00ED3AEC" w:rsidP="00C372D5">
            <w:r>
              <w:t>Department of Labor</w:t>
            </w:r>
          </w:p>
        </w:tc>
        <w:tc>
          <w:tcPr>
            <w:tcW w:w="3192" w:type="dxa"/>
          </w:tcPr>
          <w:p w:rsidR="00ED3AEC" w:rsidRDefault="00A762ED" w:rsidP="00C372D5">
            <w:pPr>
              <w:cnfStyle w:val="000000000000" w:firstRow="0" w:lastRow="0" w:firstColumn="0" w:lastColumn="0" w:oddVBand="0" w:evenVBand="0" w:oddHBand="0" w:evenHBand="0" w:firstRowFirstColumn="0" w:firstRowLastColumn="0" w:lastRowFirstColumn="0" w:lastRowLastColumn="0"/>
            </w:pPr>
            <w:r>
              <w:t>All</w:t>
            </w:r>
          </w:p>
        </w:tc>
        <w:tc>
          <w:tcPr>
            <w:tcW w:w="3192" w:type="dxa"/>
          </w:tcPr>
          <w:p w:rsidR="00ED3AEC" w:rsidRDefault="00A762ED" w:rsidP="00C372D5">
            <w:pPr>
              <w:cnfStyle w:val="000000000000" w:firstRow="0" w:lastRow="0" w:firstColumn="0" w:lastColumn="0" w:oddVBand="0" w:evenVBand="0" w:oddHBand="0" w:evenHBand="0" w:firstRowFirstColumn="0" w:firstRowLastColumn="0" w:lastRowFirstColumn="0" w:lastRowLastColumn="0"/>
            </w:pPr>
            <w:r>
              <w:t>Employment</w:t>
            </w:r>
          </w:p>
        </w:tc>
      </w:tr>
      <w:tr w:rsidR="00ED3AEC" w:rsidTr="00ED3A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Pr>
          <w:p w:rsidR="00ED3AEC" w:rsidRDefault="00ED3AEC" w:rsidP="00C372D5">
            <w:r>
              <w:t>Green Thumb</w:t>
            </w:r>
          </w:p>
        </w:tc>
        <w:tc>
          <w:tcPr>
            <w:tcW w:w="3192" w:type="dxa"/>
          </w:tcPr>
          <w:p w:rsidR="00ED3AEC" w:rsidRDefault="00A762ED" w:rsidP="00C372D5">
            <w:pPr>
              <w:cnfStyle w:val="000000100000" w:firstRow="0" w:lastRow="0" w:firstColumn="0" w:lastColumn="0" w:oddVBand="0" w:evenVBand="0" w:oddHBand="1" w:evenHBand="0" w:firstRowFirstColumn="0" w:firstRowLastColumn="0" w:lastRowFirstColumn="0" w:lastRowLastColumn="0"/>
            </w:pPr>
            <w:r>
              <w:t>All</w:t>
            </w:r>
          </w:p>
        </w:tc>
        <w:tc>
          <w:tcPr>
            <w:tcW w:w="3192" w:type="dxa"/>
          </w:tcPr>
          <w:p w:rsidR="00ED3AEC" w:rsidRDefault="00A762ED" w:rsidP="00C372D5">
            <w:pPr>
              <w:cnfStyle w:val="000000100000" w:firstRow="0" w:lastRow="0" w:firstColumn="0" w:lastColumn="0" w:oddVBand="0" w:evenVBand="0" w:oddHBand="1" w:evenHBand="0" w:firstRowFirstColumn="0" w:firstRowLastColumn="0" w:lastRowFirstColumn="0" w:lastRowLastColumn="0"/>
            </w:pPr>
            <w:r>
              <w:t>Employment</w:t>
            </w:r>
          </w:p>
        </w:tc>
      </w:tr>
      <w:tr w:rsidR="00ED3AEC" w:rsidTr="00ED3AEC">
        <w:tc>
          <w:tcPr>
            <w:cnfStyle w:val="001000000000" w:firstRow="0" w:lastRow="0" w:firstColumn="1" w:lastColumn="0" w:oddVBand="0" w:evenVBand="0" w:oddHBand="0" w:evenHBand="0" w:firstRowFirstColumn="0" w:firstRowLastColumn="0" w:lastRowFirstColumn="0" w:lastRowLastColumn="0"/>
            <w:tcW w:w="3192" w:type="dxa"/>
          </w:tcPr>
          <w:p w:rsidR="00ED3AEC" w:rsidRDefault="00A762ED" w:rsidP="00C372D5">
            <w:r>
              <w:t>Oglala Sioux Native Employment Work Program</w:t>
            </w:r>
          </w:p>
        </w:tc>
        <w:tc>
          <w:tcPr>
            <w:tcW w:w="3192" w:type="dxa"/>
          </w:tcPr>
          <w:p w:rsidR="00ED3AEC" w:rsidRDefault="00A762ED" w:rsidP="00C372D5">
            <w:pPr>
              <w:cnfStyle w:val="000000000000" w:firstRow="0" w:lastRow="0" w:firstColumn="0" w:lastColumn="0" w:oddVBand="0" w:evenVBand="0" w:oddHBand="0" w:evenHBand="0" w:firstRowFirstColumn="0" w:firstRowLastColumn="0" w:lastRowFirstColumn="0" w:lastRowLastColumn="0"/>
            </w:pPr>
            <w:r>
              <w:t>Shannon/Bennett</w:t>
            </w:r>
          </w:p>
        </w:tc>
        <w:tc>
          <w:tcPr>
            <w:tcW w:w="3192" w:type="dxa"/>
          </w:tcPr>
          <w:p w:rsidR="00ED3AEC" w:rsidRDefault="00A762ED" w:rsidP="00C372D5">
            <w:pPr>
              <w:cnfStyle w:val="000000000000" w:firstRow="0" w:lastRow="0" w:firstColumn="0" w:lastColumn="0" w:oddVBand="0" w:evenVBand="0" w:oddHBand="0" w:evenHBand="0" w:firstRowFirstColumn="0" w:firstRowLastColumn="0" w:lastRowFirstColumn="0" w:lastRowLastColumn="0"/>
            </w:pPr>
            <w:r>
              <w:t>Employment</w:t>
            </w:r>
          </w:p>
        </w:tc>
      </w:tr>
    </w:tbl>
    <w:p w:rsidR="002D6497" w:rsidRPr="002D6497" w:rsidRDefault="002D6497" w:rsidP="002D6497"/>
    <w:p w:rsidR="00AE5CDD" w:rsidRDefault="00755F53" w:rsidP="00961C0C">
      <w:pPr>
        <w:pStyle w:val="Heading2"/>
        <w:spacing w:before="0"/>
      </w:pPr>
      <w:bookmarkStart w:id="29" w:name="_Toc416269450"/>
      <w:r>
        <w:t>Conclusions</w:t>
      </w:r>
      <w:bookmarkEnd w:id="29"/>
    </w:p>
    <w:p w:rsidR="00A762ED" w:rsidRPr="00D57E0D" w:rsidRDefault="00FD056B" w:rsidP="00AE02D5">
      <w:pPr>
        <w:spacing w:line="480" w:lineRule="auto"/>
        <w:ind w:firstLine="720"/>
      </w:pPr>
      <w:r>
        <w:t xml:space="preserve">Without our community partners, TREC would not have much success helping the children and families in our service area. Our communities, as evidenced above, have many needs that need to be taken care of on a regular basis. Our partners help in filling the void where TREC simply cannot provide the service because of size and a lack of expertise in some areas. Thus, partnering with medical, educational, and social service organizations becomes an integral part of our program. Additionally, although TREC has many solid partnerships, the communities need us to develop more </w:t>
      </w:r>
      <w:r w:rsidR="00AE02D5">
        <w:t>deep and meaningful partnerships with other organizations that serve in the medical, dental, education, and social service arenas. Plentiful partnerships are moot if they do not possess deep and meaningful roots. In other words, having many partners is not enough. It is evident through our data and examples provided that this is a community need we cannot simply handle at a surface level.</w:t>
      </w:r>
    </w:p>
    <w:p w:rsidR="00FA4CED" w:rsidRDefault="00B0031F" w:rsidP="00B0031F">
      <w:pPr>
        <w:pStyle w:val="Heading1"/>
      </w:pPr>
      <w:bookmarkStart w:id="30" w:name="_Toc416269451"/>
      <w:r>
        <w:t>profile</w:t>
      </w:r>
      <w:r w:rsidR="00E60C3B">
        <w:t>s</w:t>
      </w:r>
      <w:r>
        <w:t xml:space="preserve"> of individual counties</w:t>
      </w:r>
      <w:bookmarkEnd w:id="30"/>
    </w:p>
    <w:p w:rsidR="00B0031F" w:rsidRDefault="00AD1FD2" w:rsidP="00141F94">
      <w:pPr>
        <w:spacing w:line="480" w:lineRule="auto"/>
        <w:ind w:firstLine="720"/>
      </w:pPr>
      <w:r>
        <w:lastRenderedPageBreak/>
        <w:t>Each section above described some key information about the counties in which TREC serves. This is not, however, a comprehensive picture of the individual situations encountered by each of the counties (Bennett, Butte, Corson, Harding, Perkins, Shannon). Each county an</w:t>
      </w:r>
      <w:r w:rsidR="00F24E40">
        <w:t>d</w:t>
      </w:r>
      <w:r>
        <w:t xml:space="preserve"> the cities encompassing that county have their own nuances, strengths, and areas where they can improve. This section will highlight the counties as individuals, spell out key findings in the data, and paint a more comprehensive picture of them. The main aim of this section is to use some of the data presented to be more holistic in deriving information about individual communities and positing goals from that information.</w:t>
      </w:r>
      <w:r w:rsidR="00297DEF">
        <w:t xml:space="preserve"> All data and figures represented in this section are sources from the U.S. Census, American Community Survey, and The Annie E. Casey Foundation’s “Kids Count” project. </w:t>
      </w:r>
    </w:p>
    <w:p w:rsidR="00DB6D17" w:rsidRDefault="00DB6D17" w:rsidP="00141F94">
      <w:pPr>
        <w:spacing w:line="480" w:lineRule="auto"/>
        <w:ind w:firstLine="720"/>
        <w:sectPr w:rsidR="00DB6D17">
          <w:footerReference w:type="default" r:id="rId20"/>
          <w:pgSz w:w="12240" w:h="15840"/>
          <w:pgMar w:top="1440" w:right="1440" w:bottom="1440" w:left="1440" w:header="720" w:footer="720" w:gutter="0"/>
          <w:cols w:space="720"/>
          <w:docGrid w:linePitch="360"/>
        </w:sectPr>
      </w:pPr>
      <w:r>
        <w:t xml:space="preserve">The tables and graphs below help to bring context to the situations our communities are in. To be clear, the data and tables provide more depth and weight to the claims made earlier in the Community Assessment. </w:t>
      </w:r>
    </w:p>
    <w:p w:rsidR="00D57E0D" w:rsidRDefault="00D57E0D" w:rsidP="00731864">
      <w:pPr>
        <w:spacing w:line="480" w:lineRule="auto"/>
      </w:pPr>
    </w:p>
    <w:p w:rsidR="00D57E0D" w:rsidRDefault="00297DEF" w:rsidP="0049067F">
      <w:pPr>
        <w:pStyle w:val="Heading2"/>
      </w:pPr>
      <w:bookmarkStart w:id="31" w:name="_Toc416269452"/>
      <w:r>
        <w:t>Bennett County</w:t>
      </w:r>
      <w:bookmarkEnd w:id="31"/>
    </w:p>
    <w:p w:rsidR="00ED2179" w:rsidRDefault="00ED2179" w:rsidP="00961C0C">
      <w:pPr>
        <w:spacing w:line="480" w:lineRule="auto"/>
        <w:ind w:firstLine="720"/>
      </w:pPr>
      <w:r>
        <w:t xml:space="preserve">Bennett County is </w:t>
      </w:r>
      <w:r w:rsidR="00476593">
        <w:t>situated</w:t>
      </w:r>
      <w:r>
        <w:t xml:space="preserve"> in the southwest corner of South Dakota. The coun</w:t>
      </w:r>
      <w:r w:rsidR="00E20C5C">
        <w:t>ty boasts a land area of 1,184 square miles and has an estimated 3,452</w:t>
      </w:r>
      <w:r>
        <w:t xml:space="preserve"> inhabitants. Like other communities in TREC’s service area, Bennett </w:t>
      </w:r>
      <w:r w:rsidR="00E20C5C">
        <w:t xml:space="preserve">County is considered a rural area with only 2.9 people per square mile. </w:t>
      </w:r>
    </w:p>
    <w:p w:rsidR="00E20C5C" w:rsidRDefault="00E20C5C" w:rsidP="00961C0C">
      <w:pPr>
        <w:spacing w:line="480" w:lineRule="auto"/>
        <w:ind w:firstLine="720"/>
      </w:pPr>
      <w:r>
        <w:t xml:space="preserve">According to the American Community Survey, a fair number of people in Bennett County that are of working age find themselves working in fields such as education, health, and social services. In addition, </w:t>
      </w:r>
      <w:r w:rsidR="00DB6D17">
        <w:t>others</w:t>
      </w:r>
      <w:r w:rsidR="00870BEE">
        <w:t xml:space="preserve"> </w:t>
      </w:r>
      <w:proofErr w:type="gramStart"/>
      <w:r w:rsidR="00870BEE">
        <w:t>that</w:t>
      </w:r>
      <w:r w:rsidR="00DB6D17">
        <w:t xml:space="preserve"> call</w:t>
      </w:r>
      <w:proofErr w:type="gramEnd"/>
      <w:r>
        <w:t xml:space="preserve"> Bennett County home work in areas like public administration</w:t>
      </w:r>
      <w:r w:rsidR="00DB6D17">
        <w:t xml:space="preserve"> (12.9%) and agriculture (14.7%). </w:t>
      </w:r>
    </w:p>
    <w:p w:rsidR="00DB6D17" w:rsidRDefault="00DB6D17" w:rsidP="00961C0C">
      <w:pPr>
        <w:spacing w:line="480" w:lineRule="auto"/>
        <w:ind w:firstLine="720"/>
      </w:pPr>
      <w:r>
        <w:t>Its rural nature and a lack of industry in Bennett County explain the 30.9% of families living below the poverty level. In addition, of all people in Bennett County, 39% of individuals had incomes falling below the poverty level in 2014. As mentioned above, the sparse population, lack of industry, and limited employment opportunities help to put these data into context.</w:t>
      </w:r>
      <w:r w:rsidR="00562771">
        <w:t xml:space="preserve"> In turn, Bennett County possesses a higher rate of unemployment compared to some counties. Recent data shows that approximately 6% of residents are unemployed. </w:t>
      </w:r>
    </w:p>
    <w:p w:rsidR="00973277" w:rsidRDefault="0049067F" w:rsidP="00961C0C">
      <w:pPr>
        <w:spacing w:line="480" w:lineRule="auto"/>
        <w:ind w:firstLine="720"/>
      </w:pPr>
      <w:r>
        <w:t>As it relates to education opportunities for those residing in Bennett County, there are some limited opportunities to achieve some form of postsecondary education. Oglala Lakota College is located approximately one hour away from the major community of Martin.</w:t>
      </w:r>
      <w:r w:rsidR="00973277">
        <w:t xml:space="preserve"> However, there are various ‘College Centers’ associated with Oglala Lakota College. Martin is home to a College Center. Parents can obtain Adult Education as well as Postsecondary preparation at this facility.</w:t>
      </w:r>
      <w:r>
        <w:t xml:space="preserve"> </w:t>
      </w:r>
    </w:p>
    <w:p w:rsidR="00476593" w:rsidRDefault="00476593" w:rsidP="00297DEF">
      <w:r>
        <w:t>Childcare</w:t>
      </w:r>
    </w:p>
    <w:p w:rsidR="00ED2179" w:rsidRDefault="00ED2179" w:rsidP="00297DEF"/>
    <w:tbl>
      <w:tblPr>
        <w:tblStyle w:val="LightList-Accent1"/>
        <w:tblW w:w="0" w:type="auto"/>
        <w:tblLook w:val="04A0" w:firstRow="1" w:lastRow="0" w:firstColumn="1" w:lastColumn="0" w:noHBand="0" w:noVBand="1"/>
      </w:tblPr>
      <w:tblGrid>
        <w:gridCol w:w="7102"/>
        <w:gridCol w:w="1286"/>
        <w:gridCol w:w="1075"/>
      </w:tblGrid>
      <w:tr w:rsidR="00E20C5C" w:rsidRPr="00E20C5C" w:rsidTr="0048650B">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People </w:t>
            </w:r>
            <w:proofErr w:type="spellStart"/>
            <w:r w:rsidRPr="00E20C5C">
              <w:t>QuickFacts</w:t>
            </w:r>
            <w:proofErr w:type="spellEnd"/>
          </w:p>
        </w:tc>
        <w:tc>
          <w:tcPr>
            <w:tcW w:w="1286" w:type="dxa"/>
            <w:noWrap/>
            <w:hideMark/>
          </w:tcPr>
          <w:p w:rsidR="00E20C5C" w:rsidRPr="00E20C5C" w:rsidRDefault="00E20C5C">
            <w:pPr>
              <w:cnfStyle w:val="100000000000" w:firstRow="1" w:lastRow="0" w:firstColumn="0" w:lastColumn="0" w:oddVBand="0" w:evenVBand="0" w:oddHBand="0" w:evenHBand="0" w:firstRowFirstColumn="0" w:firstRowLastColumn="0" w:lastRowFirstColumn="0" w:lastRowLastColumn="0"/>
            </w:pPr>
            <w:r w:rsidRPr="00E20C5C">
              <w:t>Bennett County</w:t>
            </w:r>
          </w:p>
        </w:tc>
        <w:tc>
          <w:tcPr>
            <w:tcW w:w="1075" w:type="dxa"/>
            <w:noWrap/>
            <w:hideMark/>
          </w:tcPr>
          <w:p w:rsidR="00E20C5C" w:rsidRPr="00E20C5C" w:rsidRDefault="00E20C5C">
            <w:pPr>
              <w:cnfStyle w:val="100000000000" w:firstRow="1" w:lastRow="0" w:firstColumn="0" w:lastColumn="0" w:oddVBand="0" w:evenVBand="0" w:oddHBand="0" w:evenHBand="0" w:firstRowFirstColumn="0" w:firstRowLastColumn="0" w:lastRowFirstColumn="0" w:lastRowLastColumn="0"/>
            </w:pPr>
            <w:r w:rsidRPr="00E20C5C">
              <w:t>South Dakota</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Population, 2014 estimate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NA</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853,175</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Population, 2013 estimate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3,452</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845,510</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Population, 2010 (April 1) estimates base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3,431</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814,191</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Population, percent change - April 1, 2010 to July 1, 2014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NA</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4.8%</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Population, percent change - April 1, 2010 to July 1, 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0.6%</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3.8%</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lastRenderedPageBreak/>
              <w:t xml:space="preserve">Population, 2010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3,431</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814,180</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Persons under 5 years, percent, 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10.2%</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7.1%</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Persons under 18 years, percent, 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33.6%</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24.6%</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Persons 65 years and over, percent, 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11.7%</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14.9%</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Female persons, percent, 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51.8%</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49.8%</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White alone, percent, 2013 (a)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34.0%</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85.9%</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Black or African American alone, percent, 2013 (a)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0.4%</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1.9%</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American Indian and Alaska Native alone, percent, 2013 (a)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59.7%</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8.9%</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Asian alone, percent, 2013 (a)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0.7%</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1.2%</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Native Hawaiian and Other Pacific Islander alone, percent, 2013 (a)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Z</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0.1%</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Two or More Races, percent, 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5.2%</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2.1%</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Hispanic or Latino, percent, 2013 (b)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3.3%</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3.4%</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White alone, not Hispanic or Latino, percent, 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32.9%</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83.3%</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Living in same house 1 year &amp; over, percent, 2009-2013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86.7%</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83.6%</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Foreign born persons, percent, 2009-2013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0.6%</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2.8%</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Language other than English spoken at home, </w:t>
            </w:r>
            <w:proofErr w:type="spellStart"/>
            <w:r w:rsidRPr="00E20C5C">
              <w:t>pct</w:t>
            </w:r>
            <w:proofErr w:type="spellEnd"/>
            <w:r w:rsidRPr="00E20C5C">
              <w:t xml:space="preserve"> age 5+, 2009-2013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19.1%</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6.8%</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High school graduate or higher, percent of persons age 25+, 2009-2013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76.8%</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90.4%</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Bachelor's degree or higher, percent of persons age 25+, 2009-2013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15.9%</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26.2%</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Veterans, 2009-2013    </w:t>
            </w:r>
          </w:p>
        </w:tc>
        <w:tc>
          <w:tcPr>
            <w:tcW w:w="1286" w:type="dxa"/>
            <w:noWrap/>
            <w:hideMark/>
          </w:tcPr>
          <w:p w:rsidR="00E20C5C" w:rsidRPr="00E20C5C" w:rsidRDefault="00E20C5C" w:rsidP="00E20C5C">
            <w:pPr>
              <w:cnfStyle w:val="000000000000" w:firstRow="0" w:lastRow="0" w:firstColumn="0" w:lastColumn="0" w:oddVBand="0" w:evenVBand="0" w:oddHBand="0" w:evenHBand="0" w:firstRowFirstColumn="0" w:firstRowLastColumn="0" w:lastRowFirstColumn="0" w:lastRowLastColumn="0"/>
            </w:pPr>
            <w:r w:rsidRPr="00E20C5C">
              <w:t>198</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67,886</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Mean travel time to work (minutes), workers age 16+, 2009-2013    </w:t>
            </w:r>
          </w:p>
        </w:tc>
        <w:tc>
          <w:tcPr>
            <w:tcW w:w="1286" w:type="dxa"/>
            <w:noWrap/>
            <w:hideMark/>
          </w:tcPr>
          <w:p w:rsidR="00E20C5C" w:rsidRPr="00E20C5C" w:rsidRDefault="00E20C5C" w:rsidP="00E20C5C">
            <w:pPr>
              <w:cnfStyle w:val="000000100000" w:firstRow="0" w:lastRow="0" w:firstColumn="0" w:lastColumn="0" w:oddVBand="0" w:evenVBand="0" w:oddHBand="1" w:evenHBand="0" w:firstRowFirstColumn="0" w:firstRowLastColumn="0" w:lastRowFirstColumn="0" w:lastRowLastColumn="0"/>
            </w:pPr>
            <w:r w:rsidRPr="00E20C5C">
              <w:t>16.5</w:t>
            </w:r>
          </w:p>
        </w:tc>
        <w:tc>
          <w:tcPr>
            <w:tcW w:w="1075" w:type="dxa"/>
            <w:noWrap/>
            <w:hideMark/>
          </w:tcPr>
          <w:p w:rsidR="00E20C5C" w:rsidRPr="00E20C5C" w:rsidRDefault="00E20C5C" w:rsidP="00E20C5C">
            <w:pPr>
              <w:cnfStyle w:val="000000100000" w:firstRow="0" w:lastRow="0" w:firstColumn="0" w:lastColumn="0" w:oddVBand="0" w:evenVBand="0" w:oddHBand="1" w:evenHBand="0" w:firstRowFirstColumn="0" w:firstRowLastColumn="0" w:lastRowFirstColumn="0" w:lastRowLastColumn="0"/>
            </w:pPr>
            <w:r w:rsidRPr="00E20C5C">
              <w:t>16.9</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Housing units, 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1,252</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370,291</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Homeownership rate, 2009-2013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52.4%</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68.0%</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Housing units in multi-unit structures, percent, 2009-2013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10.3%</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18.8%</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Median value of owner-occupied housing units, 2009-2013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$54,300</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$132,400</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Households, 2009-2013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1,059</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323,136</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Persons per household, 2009-2013    </w:t>
            </w:r>
          </w:p>
        </w:tc>
        <w:tc>
          <w:tcPr>
            <w:tcW w:w="1286" w:type="dxa"/>
            <w:noWrap/>
            <w:hideMark/>
          </w:tcPr>
          <w:p w:rsidR="00E20C5C" w:rsidRPr="00E20C5C" w:rsidRDefault="00E20C5C" w:rsidP="00E20C5C">
            <w:pPr>
              <w:cnfStyle w:val="000000100000" w:firstRow="0" w:lastRow="0" w:firstColumn="0" w:lastColumn="0" w:oddVBand="0" w:evenVBand="0" w:oddHBand="1" w:evenHBand="0" w:firstRowFirstColumn="0" w:firstRowLastColumn="0" w:lastRowFirstColumn="0" w:lastRowLastColumn="0"/>
            </w:pPr>
            <w:r w:rsidRPr="00E20C5C">
              <w:t>3.18</w:t>
            </w:r>
          </w:p>
        </w:tc>
        <w:tc>
          <w:tcPr>
            <w:tcW w:w="1075" w:type="dxa"/>
            <w:noWrap/>
            <w:hideMark/>
          </w:tcPr>
          <w:p w:rsidR="00E20C5C" w:rsidRPr="00E20C5C" w:rsidRDefault="00E20C5C" w:rsidP="00E20C5C">
            <w:pPr>
              <w:cnfStyle w:val="000000100000" w:firstRow="0" w:lastRow="0" w:firstColumn="0" w:lastColumn="0" w:oddVBand="0" w:evenVBand="0" w:oddHBand="1" w:evenHBand="0" w:firstRowFirstColumn="0" w:firstRowLastColumn="0" w:lastRowFirstColumn="0" w:lastRowLastColumn="0"/>
            </w:pPr>
            <w:r w:rsidRPr="00E20C5C">
              <w:t>2.45</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Per capita money income in past 12 months (2013 dollars), 2009-2013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$16,275</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$25,740</w:t>
            </w:r>
          </w:p>
        </w:tc>
      </w:tr>
      <w:tr w:rsidR="00E20C5C" w:rsidRPr="00E20C5C" w:rsidTr="0048650B">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Median household income, 2009-2013    </w:t>
            </w:r>
          </w:p>
        </w:tc>
        <w:tc>
          <w:tcPr>
            <w:tcW w:w="1286"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$37,607</w:t>
            </w:r>
          </w:p>
        </w:tc>
        <w:tc>
          <w:tcPr>
            <w:tcW w:w="1075" w:type="dxa"/>
            <w:noWrap/>
            <w:hideMark/>
          </w:tcPr>
          <w:p w:rsidR="00E20C5C" w:rsidRPr="00E20C5C" w:rsidRDefault="00E20C5C">
            <w:pPr>
              <w:cnfStyle w:val="000000100000" w:firstRow="0" w:lastRow="0" w:firstColumn="0" w:lastColumn="0" w:oddVBand="0" w:evenVBand="0" w:oddHBand="1" w:evenHBand="0" w:firstRowFirstColumn="0" w:firstRowLastColumn="0" w:lastRowFirstColumn="0" w:lastRowLastColumn="0"/>
            </w:pPr>
            <w:r w:rsidRPr="00E20C5C">
              <w:t>$49,495</w:t>
            </w:r>
          </w:p>
        </w:tc>
      </w:tr>
      <w:tr w:rsidR="00E20C5C" w:rsidRPr="00E20C5C" w:rsidTr="0048650B">
        <w:trPr>
          <w:trHeight w:val="255"/>
        </w:trPr>
        <w:tc>
          <w:tcPr>
            <w:cnfStyle w:val="001000000000" w:firstRow="0" w:lastRow="0" w:firstColumn="1" w:lastColumn="0" w:oddVBand="0" w:evenVBand="0" w:oddHBand="0" w:evenHBand="0" w:firstRowFirstColumn="0" w:firstRowLastColumn="0" w:lastRowFirstColumn="0" w:lastRowLastColumn="0"/>
            <w:tcW w:w="7102" w:type="dxa"/>
            <w:noWrap/>
            <w:hideMark/>
          </w:tcPr>
          <w:p w:rsidR="00E20C5C" w:rsidRPr="00E20C5C" w:rsidRDefault="00E20C5C">
            <w:r w:rsidRPr="00E20C5C">
              <w:t xml:space="preserve">Persons below poverty level, percent, 2009-2013    </w:t>
            </w:r>
          </w:p>
        </w:tc>
        <w:tc>
          <w:tcPr>
            <w:tcW w:w="1286"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39.3%</w:t>
            </w:r>
          </w:p>
        </w:tc>
        <w:tc>
          <w:tcPr>
            <w:tcW w:w="1075" w:type="dxa"/>
            <w:noWrap/>
            <w:hideMark/>
          </w:tcPr>
          <w:p w:rsidR="00E20C5C" w:rsidRPr="00E20C5C" w:rsidRDefault="00E20C5C">
            <w:pPr>
              <w:cnfStyle w:val="000000000000" w:firstRow="0" w:lastRow="0" w:firstColumn="0" w:lastColumn="0" w:oddVBand="0" w:evenVBand="0" w:oddHBand="0" w:evenHBand="0" w:firstRowFirstColumn="0" w:firstRowLastColumn="0" w:lastRowFirstColumn="0" w:lastRowLastColumn="0"/>
            </w:pPr>
            <w:r w:rsidRPr="00E20C5C">
              <w:t>14.1%</w:t>
            </w:r>
          </w:p>
        </w:tc>
      </w:tr>
    </w:tbl>
    <w:p w:rsidR="00E20C5C" w:rsidRDefault="00E20C5C"/>
    <w:tbl>
      <w:tblPr>
        <w:tblStyle w:val="LightList-Accent1"/>
        <w:tblW w:w="0" w:type="auto"/>
        <w:tblLook w:val="04A0" w:firstRow="1" w:lastRow="0" w:firstColumn="1" w:lastColumn="0" w:noHBand="0" w:noVBand="1"/>
      </w:tblPr>
      <w:tblGrid>
        <w:gridCol w:w="7087"/>
        <w:gridCol w:w="1301"/>
        <w:gridCol w:w="1106"/>
      </w:tblGrid>
      <w:tr w:rsidR="00E20C5C" w:rsidRPr="00E20C5C" w:rsidTr="00C372D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7" w:type="dxa"/>
            <w:noWrap/>
            <w:hideMark/>
          </w:tcPr>
          <w:p w:rsidR="00E20C5C" w:rsidRPr="00E20C5C" w:rsidRDefault="00E20C5C" w:rsidP="00E20C5C">
            <w:pPr>
              <w:rPr>
                <w:rFonts w:ascii="Arial" w:eastAsia="Times New Roman" w:hAnsi="Arial" w:cs="Arial"/>
              </w:rPr>
            </w:pPr>
            <w:r w:rsidRPr="00E20C5C">
              <w:rPr>
                <w:rFonts w:ascii="Arial" w:eastAsia="Times New Roman" w:hAnsi="Arial" w:cs="Arial"/>
              </w:rPr>
              <w:t xml:space="preserve">Geography </w:t>
            </w:r>
            <w:proofErr w:type="spellStart"/>
            <w:r w:rsidRPr="00E20C5C">
              <w:rPr>
                <w:rFonts w:ascii="Arial" w:eastAsia="Times New Roman" w:hAnsi="Arial" w:cs="Arial"/>
              </w:rPr>
              <w:t>QuickFacts</w:t>
            </w:r>
            <w:proofErr w:type="spellEnd"/>
          </w:p>
        </w:tc>
        <w:tc>
          <w:tcPr>
            <w:tcW w:w="1301" w:type="dxa"/>
            <w:noWrap/>
            <w:hideMark/>
          </w:tcPr>
          <w:p w:rsidR="00E20C5C" w:rsidRPr="00E20C5C" w:rsidRDefault="00E20C5C" w:rsidP="00E20C5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E20C5C">
              <w:rPr>
                <w:rFonts w:ascii="Arial" w:eastAsia="Times New Roman" w:hAnsi="Arial" w:cs="Arial"/>
              </w:rPr>
              <w:t>Bennett County</w:t>
            </w:r>
          </w:p>
        </w:tc>
        <w:tc>
          <w:tcPr>
            <w:tcW w:w="1106" w:type="dxa"/>
            <w:noWrap/>
            <w:hideMark/>
          </w:tcPr>
          <w:p w:rsidR="00E20C5C" w:rsidRPr="00E20C5C" w:rsidRDefault="00E20C5C" w:rsidP="00E20C5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E20C5C">
              <w:rPr>
                <w:rFonts w:ascii="Arial" w:eastAsia="Times New Roman" w:hAnsi="Arial" w:cs="Arial"/>
              </w:rPr>
              <w:t>South Dakota</w:t>
            </w:r>
          </w:p>
        </w:tc>
      </w:tr>
      <w:tr w:rsidR="00E20C5C" w:rsidRPr="00E20C5C" w:rsidTr="00C372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7" w:type="dxa"/>
            <w:noWrap/>
            <w:hideMark/>
          </w:tcPr>
          <w:p w:rsidR="00E20C5C" w:rsidRPr="00E20C5C" w:rsidRDefault="00E20C5C" w:rsidP="00E20C5C">
            <w:pPr>
              <w:rPr>
                <w:rFonts w:ascii="Arial" w:eastAsia="Times New Roman" w:hAnsi="Arial" w:cs="Arial"/>
              </w:rPr>
            </w:pPr>
            <w:r w:rsidRPr="00E20C5C">
              <w:rPr>
                <w:rFonts w:ascii="Arial" w:eastAsia="Times New Roman" w:hAnsi="Arial" w:cs="Arial"/>
              </w:rPr>
              <w:t xml:space="preserve">Land area in square miles, 2010    </w:t>
            </w:r>
          </w:p>
        </w:tc>
        <w:tc>
          <w:tcPr>
            <w:tcW w:w="1301" w:type="dxa"/>
            <w:noWrap/>
            <w:hideMark/>
          </w:tcPr>
          <w:p w:rsidR="00E20C5C" w:rsidRPr="00E20C5C" w:rsidRDefault="00E20C5C" w:rsidP="00E20C5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20C5C">
              <w:rPr>
                <w:rFonts w:ascii="Arial" w:eastAsia="Times New Roman" w:hAnsi="Arial" w:cs="Arial"/>
              </w:rPr>
              <w:t>1,184.71</w:t>
            </w:r>
          </w:p>
        </w:tc>
        <w:tc>
          <w:tcPr>
            <w:tcW w:w="1106" w:type="dxa"/>
            <w:noWrap/>
            <w:hideMark/>
          </w:tcPr>
          <w:p w:rsidR="00E20C5C" w:rsidRPr="00E20C5C" w:rsidRDefault="00E20C5C" w:rsidP="00E20C5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20C5C">
              <w:rPr>
                <w:rFonts w:ascii="Arial" w:eastAsia="Times New Roman" w:hAnsi="Arial" w:cs="Arial"/>
              </w:rPr>
              <w:t>75,811.00</w:t>
            </w:r>
          </w:p>
        </w:tc>
      </w:tr>
      <w:tr w:rsidR="00E20C5C" w:rsidRPr="00E20C5C" w:rsidTr="00C372D5">
        <w:trPr>
          <w:trHeight w:val="255"/>
        </w:trPr>
        <w:tc>
          <w:tcPr>
            <w:cnfStyle w:val="001000000000" w:firstRow="0" w:lastRow="0" w:firstColumn="1" w:lastColumn="0" w:oddVBand="0" w:evenVBand="0" w:oddHBand="0" w:evenHBand="0" w:firstRowFirstColumn="0" w:firstRowLastColumn="0" w:lastRowFirstColumn="0" w:lastRowLastColumn="0"/>
            <w:tcW w:w="7087" w:type="dxa"/>
            <w:noWrap/>
            <w:hideMark/>
          </w:tcPr>
          <w:p w:rsidR="00E20C5C" w:rsidRPr="00E20C5C" w:rsidRDefault="00E20C5C" w:rsidP="00E20C5C">
            <w:pPr>
              <w:rPr>
                <w:rFonts w:ascii="Arial" w:eastAsia="Times New Roman" w:hAnsi="Arial" w:cs="Arial"/>
              </w:rPr>
            </w:pPr>
            <w:r w:rsidRPr="00E20C5C">
              <w:rPr>
                <w:rFonts w:ascii="Arial" w:eastAsia="Times New Roman" w:hAnsi="Arial" w:cs="Arial"/>
              </w:rPr>
              <w:t xml:space="preserve">Persons per square mile, 2010    </w:t>
            </w:r>
          </w:p>
        </w:tc>
        <w:tc>
          <w:tcPr>
            <w:tcW w:w="1301" w:type="dxa"/>
            <w:noWrap/>
            <w:hideMark/>
          </w:tcPr>
          <w:p w:rsidR="00E20C5C" w:rsidRPr="00E20C5C" w:rsidRDefault="00E20C5C" w:rsidP="00E20C5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20C5C">
              <w:rPr>
                <w:rFonts w:ascii="Arial" w:eastAsia="Times New Roman" w:hAnsi="Arial" w:cs="Arial"/>
              </w:rPr>
              <w:t>2.9</w:t>
            </w:r>
          </w:p>
        </w:tc>
        <w:tc>
          <w:tcPr>
            <w:tcW w:w="1106" w:type="dxa"/>
            <w:noWrap/>
            <w:hideMark/>
          </w:tcPr>
          <w:p w:rsidR="00E20C5C" w:rsidRPr="00E20C5C" w:rsidRDefault="00E20C5C" w:rsidP="00E20C5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20C5C">
              <w:rPr>
                <w:rFonts w:ascii="Arial" w:eastAsia="Times New Roman" w:hAnsi="Arial" w:cs="Arial"/>
              </w:rPr>
              <w:t>10.7</w:t>
            </w:r>
          </w:p>
        </w:tc>
      </w:tr>
      <w:tr w:rsidR="00E20C5C" w:rsidRPr="00E20C5C" w:rsidTr="00C372D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087" w:type="dxa"/>
            <w:noWrap/>
            <w:hideMark/>
          </w:tcPr>
          <w:p w:rsidR="00E20C5C" w:rsidRPr="00E20C5C" w:rsidRDefault="00E20C5C" w:rsidP="00E20C5C">
            <w:pPr>
              <w:rPr>
                <w:rFonts w:ascii="Arial" w:eastAsia="Times New Roman" w:hAnsi="Arial" w:cs="Arial"/>
              </w:rPr>
            </w:pPr>
            <w:r w:rsidRPr="00E20C5C">
              <w:rPr>
                <w:rFonts w:ascii="Arial" w:eastAsia="Times New Roman" w:hAnsi="Arial" w:cs="Arial"/>
              </w:rPr>
              <w:t xml:space="preserve">FIPS Code    </w:t>
            </w:r>
          </w:p>
        </w:tc>
        <w:tc>
          <w:tcPr>
            <w:tcW w:w="1301" w:type="dxa"/>
            <w:noWrap/>
            <w:hideMark/>
          </w:tcPr>
          <w:p w:rsidR="00E20C5C" w:rsidRPr="00E20C5C" w:rsidRDefault="00E20C5C" w:rsidP="00E20C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20C5C">
              <w:rPr>
                <w:rFonts w:ascii="Arial" w:eastAsia="Times New Roman" w:hAnsi="Arial" w:cs="Arial"/>
              </w:rPr>
              <w:t>7</w:t>
            </w:r>
          </w:p>
        </w:tc>
        <w:tc>
          <w:tcPr>
            <w:tcW w:w="1106" w:type="dxa"/>
            <w:noWrap/>
            <w:hideMark/>
          </w:tcPr>
          <w:p w:rsidR="00E20C5C" w:rsidRPr="00E20C5C" w:rsidRDefault="00E20C5C" w:rsidP="00E20C5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20C5C">
              <w:rPr>
                <w:rFonts w:ascii="Arial" w:eastAsia="Times New Roman" w:hAnsi="Arial" w:cs="Arial"/>
              </w:rPr>
              <w:t>46</w:t>
            </w:r>
          </w:p>
        </w:tc>
      </w:tr>
      <w:tr w:rsidR="00E20C5C" w:rsidRPr="00E20C5C" w:rsidTr="00C372D5">
        <w:trPr>
          <w:trHeight w:val="255"/>
        </w:trPr>
        <w:tc>
          <w:tcPr>
            <w:cnfStyle w:val="001000000000" w:firstRow="0" w:lastRow="0" w:firstColumn="1" w:lastColumn="0" w:oddVBand="0" w:evenVBand="0" w:oddHBand="0" w:evenHBand="0" w:firstRowFirstColumn="0" w:firstRowLastColumn="0" w:lastRowFirstColumn="0" w:lastRowLastColumn="0"/>
            <w:tcW w:w="7087" w:type="dxa"/>
            <w:noWrap/>
            <w:hideMark/>
          </w:tcPr>
          <w:p w:rsidR="00E20C5C" w:rsidRPr="00E20C5C" w:rsidRDefault="00E20C5C" w:rsidP="00E20C5C">
            <w:pPr>
              <w:rPr>
                <w:rFonts w:ascii="Arial" w:eastAsia="Times New Roman" w:hAnsi="Arial" w:cs="Arial"/>
              </w:rPr>
            </w:pPr>
            <w:r w:rsidRPr="00E20C5C">
              <w:rPr>
                <w:rFonts w:ascii="Arial" w:eastAsia="Times New Roman" w:hAnsi="Arial" w:cs="Arial"/>
              </w:rPr>
              <w:t xml:space="preserve">Metropolitan or </w:t>
            </w:r>
            <w:proofErr w:type="spellStart"/>
            <w:r w:rsidRPr="00E20C5C">
              <w:rPr>
                <w:rFonts w:ascii="Arial" w:eastAsia="Times New Roman" w:hAnsi="Arial" w:cs="Arial"/>
              </w:rPr>
              <w:t>Micropolitan</w:t>
            </w:r>
            <w:proofErr w:type="spellEnd"/>
            <w:r w:rsidRPr="00E20C5C">
              <w:rPr>
                <w:rFonts w:ascii="Arial" w:eastAsia="Times New Roman" w:hAnsi="Arial" w:cs="Arial"/>
              </w:rPr>
              <w:t xml:space="preserve"> Statistical Area    </w:t>
            </w:r>
          </w:p>
        </w:tc>
        <w:tc>
          <w:tcPr>
            <w:tcW w:w="1301" w:type="dxa"/>
            <w:noWrap/>
            <w:hideMark/>
          </w:tcPr>
          <w:p w:rsidR="00E20C5C" w:rsidRPr="00E20C5C" w:rsidRDefault="00E20C5C" w:rsidP="00E20C5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20C5C">
              <w:rPr>
                <w:rFonts w:ascii="Arial" w:eastAsia="Times New Roman" w:hAnsi="Arial" w:cs="Arial"/>
              </w:rPr>
              <w:t>None</w:t>
            </w:r>
          </w:p>
        </w:tc>
        <w:tc>
          <w:tcPr>
            <w:tcW w:w="1106" w:type="dxa"/>
            <w:noWrap/>
            <w:hideMark/>
          </w:tcPr>
          <w:p w:rsidR="00E20C5C" w:rsidRPr="00E20C5C" w:rsidRDefault="00E20C5C" w:rsidP="00E20C5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20C5C">
              <w:rPr>
                <w:rFonts w:ascii="Arial" w:eastAsia="Times New Roman" w:hAnsi="Arial" w:cs="Arial"/>
              </w:rPr>
              <w:t> </w:t>
            </w:r>
          </w:p>
        </w:tc>
      </w:tr>
    </w:tbl>
    <w:p w:rsidR="005918D7" w:rsidRDefault="00C372D5" w:rsidP="00297DEF">
      <w:r>
        <w:rPr>
          <w:noProof/>
        </w:rPr>
        <w:lastRenderedPageBreak/>
        <w:drawing>
          <wp:inline distT="0" distB="0" distL="0" distR="0" wp14:anchorId="6BAE7E54" wp14:editId="6308A626">
            <wp:extent cx="5943600" cy="441071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410710"/>
                    </a:xfrm>
                    <a:prstGeom prst="rect">
                      <a:avLst/>
                    </a:prstGeom>
                  </pic:spPr>
                </pic:pic>
              </a:graphicData>
            </a:graphic>
          </wp:inline>
        </w:drawing>
      </w:r>
    </w:p>
    <w:p w:rsidR="005918D7" w:rsidRPr="005918D7" w:rsidRDefault="005918D7" w:rsidP="005918D7"/>
    <w:p w:rsidR="00297DEF" w:rsidRDefault="00297DEF" w:rsidP="00297DEF">
      <w:pPr>
        <w:pStyle w:val="Heading2"/>
      </w:pPr>
      <w:bookmarkStart w:id="32" w:name="_Toc416269453"/>
      <w:r>
        <w:t>Butte County</w:t>
      </w:r>
      <w:bookmarkEnd w:id="32"/>
    </w:p>
    <w:p w:rsidR="004B6CB2" w:rsidRDefault="00476593" w:rsidP="00961C0C">
      <w:pPr>
        <w:spacing w:line="480" w:lineRule="auto"/>
        <w:ind w:firstLine="720"/>
      </w:pPr>
      <w:r>
        <w:t>Butte County is one of the larger counties served by TREC, both in terms of overall population and land area. As far as population is concerned, Butte County is home to approximately 10,330 people</w:t>
      </w:r>
      <w:proofErr w:type="gramStart"/>
      <w:r>
        <w:t>..</w:t>
      </w:r>
      <w:proofErr w:type="gramEnd"/>
      <w:r>
        <w:t xml:space="preserve"> The land area in Butte County </w:t>
      </w:r>
      <w:r w:rsidR="004B6CB2">
        <w:t xml:space="preserve">encompasses 2,249 square miles. This equates to about 4.5 people for every square mile. Butte County could be considered less rural than other counties in TREC’s service area. </w:t>
      </w:r>
    </w:p>
    <w:p w:rsidR="00D57E0D" w:rsidRDefault="004B6CB2" w:rsidP="00961C0C">
      <w:pPr>
        <w:spacing w:line="480" w:lineRule="auto"/>
        <w:ind w:firstLine="720"/>
      </w:pPr>
      <w:r>
        <w:t xml:space="preserve">Belle Fourche is the largest town in Butte County and provides a variety of employment opportunities for the population. Most people, approximately 19.7%, in Butte County are employed in education, healthcare, and social service professions. Agriculture is the second most popular avenue of employment for those in Butte County. According to the ACS, 14.4% of residents are either farming or ranching. This does not come as a surprise because of the sprawling fields and abundant natural resources for cattle and other livestock to thrive on. </w:t>
      </w:r>
      <w:r w:rsidR="00562771">
        <w:t xml:space="preserve"> Because </w:t>
      </w:r>
      <w:r w:rsidR="00562771">
        <w:lastRenderedPageBreak/>
        <w:t xml:space="preserve">of its size and opportunities in bordering states, Butte County has maintained a very low unemployment rate. Over the past few years it has fluctuated, but the unemployment rate has hovered around 4%. </w:t>
      </w:r>
    </w:p>
    <w:p w:rsidR="004B6CB2" w:rsidRDefault="004B6CB2" w:rsidP="00961C0C">
      <w:pPr>
        <w:spacing w:line="480" w:lineRule="auto"/>
        <w:ind w:firstLine="720"/>
      </w:pPr>
      <w:r>
        <w:t>The overwhelming majority of residents possess a high school diploma. In addition, approximately 17% of those living in Butte County have obtained a baccalaureate degree. There are educational opportunities nearby for those wishing to pursue them. In fact, Spearfish, South Dakota is home to Black Hills State University</w:t>
      </w:r>
      <w:r w:rsidR="00C02F0D">
        <w:t xml:space="preserve"> (BHSU)</w:t>
      </w:r>
      <w:r>
        <w:t xml:space="preserve">. </w:t>
      </w:r>
      <w:r w:rsidR="00C02F0D">
        <w:t xml:space="preserve">A variety of programs are available at BHSU, but teaching and education are the professions the university is known for. </w:t>
      </w:r>
    </w:p>
    <w:p w:rsidR="00476593" w:rsidRDefault="00C02F0D" w:rsidP="005918D7">
      <w:pPr>
        <w:spacing w:line="480" w:lineRule="auto"/>
        <w:ind w:firstLine="720"/>
      </w:pPr>
      <w:r>
        <w:t>Childcare</w:t>
      </w:r>
      <w:r w:rsidR="00D32E8B">
        <w:t xml:space="preserve"> is readily available in Butte County, However, as mentioned in a prior section, there needs to be further investigation into the quality and cost effectiveness of the programs that are serving potential Head Start and Early Head Start children. The data point out </w:t>
      </w:r>
      <w:proofErr w:type="gramStart"/>
      <w:r w:rsidR="00D32E8B">
        <w:t>that services</w:t>
      </w:r>
      <w:proofErr w:type="gramEnd"/>
      <w:r w:rsidR="00D32E8B">
        <w:t xml:space="preserve"> are available, but are they viable and contributing to the development of our children?</w:t>
      </w:r>
      <w:r w:rsidR="005918D7">
        <w:t xml:space="preserve"> </w:t>
      </w:r>
    </w:p>
    <w:p w:rsidR="005918D7" w:rsidRDefault="005918D7" w:rsidP="005918D7">
      <w:pPr>
        <w:spacing w:line="480" w:lineRule="auto"/>
      </w:pPr>
    </w:p>
    <w:tbl>
      <w:tblPr>
        <w:tblStyle w:val="LightList-Accent1"/>
        <w:tblW w:w="9468" w:type="dxa"/>
        <w:tblLook w:val="04A0" w:firstRow="1" w:lastRow="0" w:firstColumn="1" w:lastColumn="0" w:noHBand="0" w:noVBand="1"/>
      </w:tblPr>
      <w:tblGrid>
        <w:gridCol w:w="6973"/>
        <w:gridCol w:w="1235"/>
        <w:gridCol w:w="1260"/>
      </w:tblGrid>
      <w:tr w:rsidR="00476593" w:rsidRPr="00476593" w:rsidTr="00372D1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People </w:t>
            </w:r>
            <w:proofErr w:type="spellStart"/>
            <w:r w:rsidRPr="00476593">
              <w:rPr>
                <w:rFonts w:ascii="Arial" w:eastAsia="Times New Roman" w:hAnsi="Arial" w:cs="Arial"/>
              </w:rPr>
              <w:t>QuickFacts</w:t>
            </w:r>
            <w:proofErr w:type="spellEnd"/>
          </w:p>
        </w:tc>
        <w:tc>
          <w:tcPr>
            <w:tcW w:w="1235" w:type="dxa"/>
            <w:noWrap/>
            <w:hideMark/>
          </w:tcPr>
          <w:p w:rsidR="00476593" w:rsidRPr="00476593" w:rsidRDefault="00476593" w:rsidP="004765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Butte County</w:t>
            </w:r>
          </w:p>
        </w:tc>
        <w:tc>
          <w:tcPr>
            <w:tcW w:w="1260" w:type="dxa"/>
            <w:noWrap/>
            <w:hideMark/>
          </w:tcPr>
          <w:p w:rsidR="00476593" w:rsidRPr="00476593" w:rsidRDefault="00476593" w:rsidP="004765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South Dakota</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Population, 2014 estimate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NA</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853,175</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Population, 2013 estimate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10,330</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845,510</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Population, 2010 (April 1) estimates base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10,110</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814,191</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Population, percent change - April 1, 2010 to July 1, 2014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NA</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4.8%</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Population, percent change - April 1, 2010 to July 1, 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2.2%</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3.8%</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Population, 2010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10,110</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814,180</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Persons under 5 years, percent, 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6.4%</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7.1%</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Persons under 18 years, percent, 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24.3%</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24.6%</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Persons 65 years and over, percent, 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17.6%</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14.9%</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Female persons, percent, 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49.7%</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49.8%</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White alone, percent, 2013 (a)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94.4%</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85.9%</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Black or African American alone, percent, 2013 (a)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0.8%</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1.9%</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American Indian and Alaska Native alone, percent, 2013 (a)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2.0%</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8.9%</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Asian alone, percent, 2013 (a)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0.3%</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1.2%</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Native Hawaiian and Other Pacific Islander alone, percent, 2013 (a)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0.1%</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0.1%</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Two or More Races, percent, 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2.5%</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2.1%</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Hispanic or Latino, percent, 2013 (b)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3.5%</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3.4%</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White alone, not Hispanic or Latino, percent, 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91.6%</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83.3%</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Living in same house 1 year &amp; over, percent, 2009-2013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81.7%</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83.6%</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lastRenderedPageBreak/>
              <w:t xml:space="preserve">Foreign born persons, percent,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0.5%</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2.8%</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Language other than English spoken at home, </w:t>
            </w:r>
            <w:proofErr w:type="spellStart"/>
            <w:r w:rsidRPr="00476593">
              <w:rPr>
                <w:rFonts w:ascii="Arial" w:eastAsia="Times New Roman" w:hAnsi="Arial" w:cs="Arial"/>
              </w:rPr>
              <w:t>pct</w:t>
            </w:r>
            <w:proofErr w:type="spellEnd"/>
            <w:r w:rsidRPr="00476593">
              <w:rPr>
                <w:rFonts w:ascii="Arial" w:eastAsia="Times New Roman" w:hAnsi="Arial" w:cs="Arial"/>
              </w:rPr>
              <w:t xml:space="preserve"> age 5+, 2009-2013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2.6%</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6.8%</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High school graduate or higher, percent of persons age 25+,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87.1%</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90.4%</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Bachelor's degree or higher, percent of persons age 25+, 2009-2013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16.9%</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26.2%</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Veterans,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1,049</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67,886</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Mean travel time to work (minutes), workers age 16+, 2009-2013    </w:t>
            </w:r>
          </w:p>
        </w:tc>
        <w:tc>
          <w:tcPr>
            <w:tcW w:w="1235" w:type="dxa"/>
            <w:noWrap/>
            <w:hideMark/>
          </w:tcPr>
          <w:p w:rsidR="00476593" w:rsidRPr="00476593" w:rsidRDefault="00476593" w:rsidP="004765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23.7</w:t>
            </w:r>
          </w:p>
        </w:tc>
        <w:tc>
          <w:tcPr>
            <w:tcW w:w="1260" w:type="dxa"/>
            <w:noWrap/>
            <w:hideMark/>
          </w:tcPr>
          <w:p w:rsidR="00476593" w:rsidRPr="00476593" w:rsidRDefault="00476593" w:rsidP="004765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16.9</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Housing units, 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4,637</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370,291</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Homeownership rate, 2009-2013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72.0%</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68.0%</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Housing units in multi-unit structures, percent,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9.1%</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18.8%</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Median value of owner-occupied housing units, 2009-2013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$111,900</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$132,400</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Households,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4,015</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323,136</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Persons per household, 2009-2013    </w:t>
            </w:r>
          </w:p>
        </w:tc>
        <w:tc>
          <w:tcPr>
            <w:tcW w:w="1235" w:type="dxa"/>
            <w:noWrap/>
            <w:hideMark/>
          </w:tcPr>
          <w:p w:rsidR="00476593" w:rsidRPr="00476593" w:rsidRDefault="00476593" w:rsidP="004765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2.51</w:t>
            </w:r>
          </w:p>
        </w:tc>
        <w:tc>
          <w:tcPr>
            <w:tcW w:w="1260" w:type="dxa"/>
            <w:noWrap/>
            <w:hideMark/>
          </w:tcPr>
          <w:p w:rsidR="00476593" w:rsidRPr="00476593" w:rsidRDefault="00476593" w:rsidP="004765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2.45</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 capita money income in past 12 months (2013 dollars),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$21,744</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$25,740</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Median household income, 2009-2013    </w:t>
            </w:r>
          </w:p>
        </w:tc>
        <w:tc>
          <w:tcPr>
            <w:tcW w:w="1235"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$41,332</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$49,495</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6973"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Persons below poverty level, percent, 2009-2013    </w:t>
            </w:r>
          </w:p>
        </w:tc>
        <w:tc>
          <w:tcPr>
            <w:tcW w:w="1235"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10.2%</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14.1%</w:t>
            </w:r>
          </w:p>
        </w:tc>
      </w:tr>
    </w:tbl>
    <w:p w:rsidR="00476593" w:rsidRDefault="00476593" w:rsidP="00297DEF"/>
    <w:tbl>
      <w:tblPr>
        <w:tblStyle w:val="LightList-Accent1"/>
        <w:tblW w:w="9468" w:type="dxa"/>
        <w:tblLook w:val="04A0" w:firstRow="1" w:lastRow="0" w:firstColumn="1" w:lastColumn="0" w:noHBand="0" w:noVBand="1"/>
      </w:tblPr>
      <w:tblGrid>
        <w:gridCol w:w="7128"/>
        <w:gridCol w:w="1080"/>
        <w:gridCol w:w="1260"/>
      </w:tblGrid>
      <w:tr w:rsidR="00476593" w:rsidRPr="00476593" w:rsidTr="00372D1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28"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Geography </w:t>
            </w:r>
            <w:proofErr w:type="spellStart"/>
            <w:r w:rsidRPr="00476593">
              <w:rPr>
                <w:rFonts w:ascii="Arial" w:eastAsia="Times New Roman" w:hAnsi="Arial" w:cs="Arial"/>
              </w:rPr>
              <w:t>QuickFacts</w:t>
            </w:r>
            <w:proofErr w:type="spellEnd"/>
          </w:p>
        </w:tc>
        <w:tc>
          <w:tcPr>
            <w:tcW w:w="1080" w:type="dxa"/>
            <w:noWrap/>
            <w:hideMark/>
          </w:tcPr>
          <w:p w:rsidR="00476593" w:rsidRPr="00476593" w:rsidRDefault="00476593" w:rsidP="004765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Butte County</w:t>
            </w:r>
          </w:p>
        </w:tc>
        <w:tc>
          <w:tcPr>
            <w:tcW w:w="1260" w:type="dxa"/>
            <w:noWrap/>
            <w:hideMark/>
          </w:tcPr>
          <w:p w:rsidR="00476593" w:rsidRPr="00476593" w:rsidRDefault="00476593" w:rsidP="0047659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South Dakota</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28"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Land area in square miles, 2010    </w:t>
            </w:r>
          </w:p>
        </w:tc>
        <w:tc>
          <w:tcPr>
            <w:tcW w:w="108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2,249.90</w:t>
            </w:r>
          </w:p>
        </w:tc>
        <w:tc>
          <w:tcPr>
            <w:tcW w:w="1260" w:type="dxa"/>
            <w:noWrap/>
            <w:hideMark/>
          </w:tcPr>
          <w:p w:rsidR="00476593" w:rsidRPr="00476593" w:rsidRDefault="00476593" w:rsidP="0047659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75,811.00</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7128"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Persons per square mile, 2010    </w:t>
            </w:r>
          </w:p>
        </w:tc>
        <w:tc>
          <w:tcPr>
            <w:tcW w:w="1080" w:type="dxa"/>
            <w:noWrap/>
            <w:hideMark/>
          </w:tcPr>
          <w:p w:rsidR="00476593" w:rsidRPr="00476593" w:rsidRDefault="00476593" w:rsidP="004765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4.5</w:t>
            </w:r>
          </w:p>
        </w:tc>
        <w:tc>
          <w:tcPr>
            <w:tcW w:w="1260" w:type="dxa"/>
            <w:noWrap/>
            <w:hideMark/>
          </w:tcPr>
          <w:p w:rsidR="00476593" w:rsidRPr="00476593" w:rsidRDefault="00476593" w:rsidP="0047659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10.7</w:t>
            </w:r>
          </w:p>
        </w:tc>
      </w:tr>
      <w:tr w:rsidR="00476593" w:rsidRPr="00476593" w:rsidTr="00372D1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28"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FIPS Code    </w:t>
            </w:r>
          </w:p>
        </w:tc>
        <w:tc>
          <w:tcPr>
            <w:tcW w:w="1080" w:type="dxa"/>
            <w:noWrap/>
            <w:hideMark/>
          </w:tcPr>
          <w:p w:rsidR="00476593" w:rsidRPr="00476593" w:rsidRDefault="00476593" w:rsidP="004765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19</w:t>
            </w:r>
          </w:p>
        </w:tc>
        <w:tc>
          <w:tcPr>
            <w:tcW w:w="1260" w:type="dxa"/>
            <w:noWrap/>
            <w:hideMark/>
          </w:tcPr>
          <w:p w:rsidR="00476593" w:rsidRPr="00476593" w:rsidRDefault="00476593" w:rsidP="0047659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76593">
              <w:rPr>
                <w:rFonts w:ascii="Arial" w:eastAsia="Times New Roman" w:hAnsi="Arial" w:cs="Arial"/>
              </w:rPr>
              <w:t>46</w:t>
            </w:r>
          </w:p>
        </w:tc>
      </w:tr>
      <w:tr w:rsidR="00476593" w:rsidRPr="00476593" w:rsidTr="00372D10">
        <w:trPr>
          <w:trHeight w:val="255"/>
        </w:trPr>
        <w:tc>
          <w:tcPr>
            <w:cnfStyle w:val="001000000000" w:firstRow="0" w:lastRow="0" w:firstColumn="1" w:lastColumn="0" w:oddVBand="0" w:evenVBand="0" w:oddHBand="0" w:evenHBand="0" w:firstRowFirstColumn="0" w:firstRowLastColumn="0" w:lastRowFirstColumn="0" w:lastRowLastColumn="0"/>
            <w:tcW w:w="7128" w:type="dxa"/>
            <w:noWrap/>
            <w:hideMark/>
          </w:tcPr>
          <w:p w:rsidR="00476593" w:rsidRPr="00476593" w:rsidRDefault="00476593" w:rsidP="00476593">
            <w:pPr>
              <w:rPr>
                <w:rFonts w:ascii="Arial" w:eastAsia="Times New Roman" w:hAnsi="Arial" w:cs="Arial"/>
              </w:rPr>
            </w:pPr>
            <w:r w:rsidRPr="00476593">
              <w:rPr>
                <w:rFonts w:ascii="Arial" w:eastAsia="Times New Roman" w:hAnsi="Arial" w:cs="Arial"/>
              </w:rPr>
              <w:t xml:space="preserve">Metropolitan or </w:t>
            </w:r>
            <w:proofErr w:type="spellStart"/>
            <w:r w:rsidRPr="00476593">
              <w:rPr>
                <w:rFonts w:ascii="Arial" w:eastAsia="Times New Roman" w:hAnsi="Arial" w:cs="Arial"/>
              </w:rPr>
              <w:t>Micropolitan</w:t>
            </w:r>
            <w:proofErr w:type="spellEnd"/>
            <w:r w:rsidRPr="00476593">
              <w:rPr>
                <w:rFonts w:ascii="Arial" w:eastAsia="Times New Roman" w:hAnsi="Arial" w:cs="Arial"/>
              </w:rPr>
              <w:t xml:space="preserve"> Statistical Area    </w:t>
            </w:r>
          </w:p>
        </w:tc>
        <w:tc>
          <w:tcPr>
            <w:tcW w:w="108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None</w:t>
            </w:r>
          </w:p>
        </w:tc>
        <w:tc>
          <w:tcPr>
            <w:tcW w:w="1260" w:type="dxa"/>
            <w:noWrap/>
            <w:hideMark/>
          </w:tcPr>
          <w:p w:rsidR="00476593" w:rsidRPr="00476593" w:rsidRDefault="00476593" w:rsidP="0047659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76593">
              <w:rPr>
                <w:rFonts w:ascii="Arial" w:eastAsia="Times New Roman" w:hAnsi="Arial" w:cs="Arial"/>
              </w:rPr>
              <w:t> </w:t>
            </w:r>
          </w:p>
        </w:tc>
      </w:tr>
    </w:tbl>
    <w:p w:rsidR="005918D7" w:rsidRDefault="00E60C3B" w:rsidP="00297DEF">
      <w:r>
        <w:rPr>
          <w:noProof/>
        </w:rPr>
        <w:lastRenderedPageBreak/>
        <w:drawing>
          <wp:inline distT="0" distB="0" distL="0" distR="0" wp14:anchorId="1D986239" wp14:editId="79FCEE35">
            <wp:extent cx="5943600" cy="4518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518660"/>
                    </a:xfrm>
                    <a:prstGeom prst="rect">
                      <a:avLst/>
                    </a:prstGeom>
                  </pic:spPr>
                </pic:pic>
              </a:graphicData>
            </a:graphic>
          </wp:inline>
        </w:drawing>
      </w:r>
    </w:p>
    <w:p w:rsidR="005918D7" w:rsidRPr="005918D7" w:rsidRDefault="005918D7" w:rsidP="005918D7"/>
    <w:p w:rsidR="00297DEF" w:rsidRDefault="00297DEF" w:rsidP="00297DEF">
      <w:pPr>
        <w:pStyle w:val="Heading2"/>
      </w:pPr>
      <w:bookmarkStart w:id="33" w:name="_Toc416269454"/>
      <w:r>
        <w:t>Corson (Western) County</w:t>
      </w:r>
      <w:bookmarkEnd w:id="33"/>
    </w:p>
    <w:p w:rsidR="00D57E0D" w:rsidRDefault="00922269" w:rsidP="00961C0C">
      <w:pPr>
        <w:spacing w:line="480" w:lineRule="auto"/>
        <w:ind w:firstLine="720"/>
      </w:pPr>
      <w:r>
        <w:t xml:space="preserve">TREC operates mostly in Perkins </w:t>
      </w:r>
      <w:proofErr w:type="gramStart"/>
      <w:r>
        <w:t>County,</w:t>
      </w:r>
      <w:proofErr w:type="gramEnd"/>
      <w:r>
        <w:t xml:space="preserve"> however, there are children that reside in rural western Corson County that do attend our Lemmon center-based Head Start program. Western Corson Coun</w:t>
      </w:r>
      <w:r w:rsidR="00AB19A5">
        <w:t>t</w:t>
      </w:r>
      <w:r>
        <w:t xml:space="preserve">y is rural by nature. The population of the entire county only reaches to 4,215 people. In addition, Corson </w:t>
      </w:r>
      <w:proofErr w:type="gramStart"/>
      <w:r>
        <w:t>county</w:t>
      </w:r>
      <w:proofErr w:type="gramEnd"/>
      <w:r>
        <w:t xml:space="preserve"> spans 2,469 square miles. This only equates to 1.6 inhabitants for every square mile of land within the county.</w:t>
      </w:r>
    </w:p>
    <w:p w:rsidR="00922269" w:rsidRDefault="00922269" w:rsidP="00961C0C">
      <w:pPr>
        <w:spacing w:line="480" w:lineRule="auto"/>
        <w:ind w:firstLine="720"/>
      </w:pPr>
      <w:r>
        <w:t xml:space="preserve">Given the information above, it is no surprise that most working folks, 42.69%, find themselves calling agriculture their career path. </w:t>
      </w:r>
      <w:r w:rsidR="00CC7958">
        <w:t xml:space="preserve">The number two employer of Corson County residents falls to those working in areas focused around education, healthcare, and social services. </w:t>
      </w:r>
      <w:r w:rsidR="009A3BD8">
        <w:t>Corson County has fluctuating unemployment. In fact, over the past 3 years, the unemployment rate has varied between 4% and 9% on a regular basis. This is a consideration TREC must account for in our family programming.</w:t>
      </w:r>
    </w:p>
    <w:p w:rsidR="00676BAB" w:rsidRDefault="00676BAB" w:rsidP="00961C0C">
      <w:pPr>
        <w:spacing w:line="480" w:lineRule="auto"/>
        <w:ind w:firstLine="720"/>
      </w:pPr>
      <w:r>
        <w:lastRenderedPageBreak/>
        <w:t>Most of the inhabitants of Corson County over 25 have at least</w:t>
      </w:r>
      <w:r w:rsidR="00961C0C">
        <w:t xml:space="preserve"> a high school diploma. There </w:t>
      </w:r>
      <w:proofErr w:type="gramStart"/>
      <w:r w:rsidR="00961C0C">
        <w:t>is</w:t>
      </w:r>
      <w:proofErr w:type="gramEnd"/>
      <w:r>
        <w:t xml:space="preserve"> a smaller </w:t>
      </w:r>
      <w:r w:rsidR="00A44D9B">
        <w:t>percentage</w:t>
      </w:r>
      <w:r>
        <w:t xml:space="preserve"> </w:t>
      </w:r>
      <w:r w:rsidR="00961C0C">
        <w:t xml:space="preserve">of people </w:t>
      </w:r>
      <w:r>
        <w:t>that possess a baccalaureate degree (13.8%). Since the second rated employer in Corson County is in the education, healthcare, and social services arena, the number of people having college education makes sense. As far as opportunities for furthering one’s education are concerned, Corson County presents limited options, if any. The only postsecondary institution within moderate distance is</w:t>
      </w:r>
      <w:r w:rsidR="00A44D9B">
        <w:t xml:space="preserve"> Sitting Bull College.</w:t>
      </w:r>
      <w:r w:rsidR="00372D10">
        <w:t xml:space="preserve"> Persons wanting to get a degree or pursue some Adult Basic Education (G.E.D) courses can opt to use Sitting Bull College or online opportunities. </w:t>
      </w:r>
    </w:p>
    <w:p w:rsidR="00676BAB" w:rsidRDefault="00676BAB" w:rsidP="00961C0C">
      <w:pPr>
        <w:spacing w:line="480" w:lineRule="auto"/>
        <w:ind w:firstLine="720"/>
      </w:pPr>
      <w:r>
        <w:t xml:space="preserve">The area TREC serves in Corson County has a dearth of child care opportunities for children in the area. </w:t>
      </w:r>
      <w:r w:rsidR="00285374">
        <w:t>The entire county has nearly 400 children under the age of 5, but TREC only serves a fraction of the total amount. Therefore, it is difficult to determine the need for child care when it comes to families we serve. However, the availability of such facilities in nearby counties and communities could be valuable.</w:t>
      </w:r>
    </w:p>
    <w:p w:rsidR="007B0643" w:rsidRDefault="007B0643" w:rsidP="00297DEF"/>
    <w:tbl>
      <w:tblPr>
        <w:tblStyle w:val="LightList-Accent1"/>
        <w:tblW w:w="0" w:type="auto"/>
        <w:tblLook w:val="04A0" w:firstRow="1" w:lastRow="0" w:firstColumn="1" w:lastColumn="0" w:noHBand="0" w:noVBand="1"/>
      </w:tblPr>
      <w:tblGrid>
        <w:gridCol w:w="7280"/>
        <w:gridCol w:w="1018"/>
        <w:gridCol w:w="1170"/>
      </w:tblGrid>
      <w:tr w:rsidR="007B0643" w:rsidRPr="007B0643" w:rsidTr="00193EA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People </w:t>
            </w:r>
            <w:proofErr w:type="spellStart"/>
            <w:r w:rsidRPr="007B0643">
              <w:t>QuickFacts</w:t>
            </w:r>
            <w:proofErr w:type="spellEnd"/>
          </w:p>
        </w:tc>
        <w:tc>
          <w:tcPr>
            <w:tcW w:w="1018" w:type="dxa"/>
            <w:noWrap/>
            <w:hideMark/>
          </w:tcPr>
          <w:p w:rsidR="007B0643" w:rsidRPr="007B0643" w:rsidRDefault="007B0643">
            <w:pPr>
              <w:cnfStyle w:val="100000000000" w:firstRow="1" w:lastRow="0" w:firstColumn="0" w:lastColumn="0" w:oddVBand="0" w:evenVBand="0" w:oddHBand="0" w:evenHBand="0" w:firstRowFirstColumn="0" w:firstRowLastColumn="0" w:lastRowFirstColumn="0" w:lastRowLastColumn="0"/>
            </w:pPr>
            <w:r w:rsidRPr="007B0643">
              <w:t>Corson County</w:t>
            </w:r>
          </w:p>
        </w:tc>
        <w:tc>
          <w:tcPr>
            <w:tcW w:w="1170" w:type="dxa"/>
            <w:noWrap/>
            <w:hideMark/>
          </w:tcPr>
          <w:p w:rsidR="007B0643" w:rsidRPr="007B0643" w:rsidRDefault="007B0643">
            <w:pPr>
              <w:cnfStyle w:val="100000000000" w:firstRow="1" w:lastRow="0" w:firstColumn="0" w:lastColumn="0" w:oddVBand="0" w:evenVBand="0" w:oddHBand="0" w:evenHBand="0" w:firstRowFirstColumn="0" w:firstRowLastColumn="0" w:lastRowFirstColumn="0" w:lastRowLastColumn="0"/>
            </w:pPr>
            <w:r w:rsidRPr="007B0643">
              <w:t>South Dakota</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Population, 2014 estimate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NA</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853,175</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Population, 2013 estimate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4,215</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845,510</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Population, 2010 (April 1) estimates base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4,050</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814,191</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Population, percent change - April 1, 2010 to July 1, 2014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NA</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4.8%</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Population, percent change - April 1, 2010 to July 1, 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4.1%</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3.8%</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Population, 2010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4,050</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814,180</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Persons under 5 years, percent, 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8.7%</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7.1%</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Persons under 18 years, percent, 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33.9%</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24.6%</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Persons 65 years and over, percent, 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10.7%</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14.9%</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Female persons, percent, 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48.8%</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49.8%</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White alone, percent, 2013 (a)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31.4%</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85.9%</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Black or African American alone, percent, 2013 (a)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0.2%</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1.9%</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American Indian and Alaska Native alone, percent, 2013 (a)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64.8%</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8.9%</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Asian alone, percent, 2013 (a)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0.3%</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1.2%</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Native Hawaiian and Other Pacific Islander alone, percent, 2013 (a)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0.1%</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0.1%</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Two or More Races, percent, 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3.1%</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2.1%</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Hispanic or Latino, percent, 2013 (b)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3.8%</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3.4%</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White alone, not Hispanic or Latino, percent, 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30.8%</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83.3%</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Living in same house 1 year &amp; over, percent, 2009-2013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89.2%</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83.6%</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Foreign born persons, percent, 2009-2013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0.5%</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2.8%</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lastRenderedPageBreak/>
              <w:t xml:space="preserve">Language other than English spoken at home, </w:t>
            </w:r>
            <w:proofErr w:type="spellStart"/>
            <w:r w:rsidRPr="007B0643">
              <w:t>pct</w:t>
            </w:r>
            <w:proofErr w:type="spellEnd"/>
            <w:r w:rsidRPr="007B0643">
              <w:t xml:space="preserve"> age 5+, 2009-2013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17.2%</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6.8%</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High school graduate or higher, percent of persons age 25+, 2009-2013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83.0%</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90.4%</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Bachelor's degree or higher, percent of persons age 25+, 2009-2013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13.8%</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26.2%</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Veterans, 2009-2013    </w:t>
            </w:r>
          </w:p>
        </w:tc>
        <w:tc>
          <w:tcPr>
            <w:tcW w:w="1018" w:type="dxa"/>
            <w:noWrap/>
            <w:hideMark/>
          </w:tcPr>
          <w:p w:rsidR="007B0643" w:rsidRPr="007B0643" w:rsidRDefault="007B0643" w:rsidP="007B0643">
            <w:pPr>
              <w:cnfStyle w:val="000000000000" w:firstRow="0" w:lastRow="0" w:firstColumn="0" w:lastColumn="0" w:oddVBand="0" w:evenVBand="0" w:oddHBand="0" w:evenHBand="0" w:firstRowFirstColumn="0" w:firstRowLastColumn="0" w:lastRowFirstColumn="0" w:lastRowLastColumn="0"/>
            </w:pPr>
            <w:r w:rsidRPr="007B0643">
              <w:t>316</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67,886</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Mean travel time to work (minutes), workers age 16+, 2009-2013    </w:t>
            </w:r>
          </w:p>
        </w:tc>
        <w:tc>
          <w:tcPr>
            <w:tcW w:w="1018" w:type="dxa"/>
            <w:noWrap/>
            <w:hideMark/>
          </w:tcPr>
          <w:p w:rsidR="007B0643" w:rsidRPr="007B0643" w:rsidRDefault="007B0643" w:rsidP="007B0643">
            <w:pPr>
              <w:cnfStyle w:val="000000100000" w:firstRow="0" w:lastRow="0" w:firstColumn="0" w:lastColumn="0" w:oddVBand="0" w:evenVBand="0" w:oddHBand="1" w:evenHBand="0" w:firstRowFirstColumn="0" w:firstRowLastColumn="0" w:lastRowFirstColumn="0" w:lastRowLastColumn="0"/>
            </w:pPr>
            <w:r w:rsidRPr="007B0643">
              <w:t>20.2</w:t>
            </w:r>
          </w:p>
        </w:tc>
        <w:tc>
          <w:tcPr>
            <w:tcW w:w="1170" w:type="dxa"/>
            <w:noWrap/>
            <w:hideMark/>
          </w:tcPr>
          <w:p w:rsidR="007B0643" w:rsidRPr="007B0643" w:rsidRDefault="007B0643" w:rsidP="007B0643">
            <w:pPr>
              <w:cnfStyle w:val="000000100000" w:firstRow="0" w:lastRow="0" w:firstColumn="0" w:lastColumn="0" w:oddVBand="0" w:evenVBand="0" w:oddHBand="1" w:evenHBand="0" w:firstRowFirstColumn="0" w:firstRowLastColumn="0" w:lastRowFirstColumn="0" w:lastRowLastColumn="0"/>
            </w:pPr>
            <w:r w:rsidRPr="007B0643">
              <w:t>16.9</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Housing units, 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1,532</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370,291</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Homeownership rate, 2009-2013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52.9%</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68.0%</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Housing units in multi-unit structures, percent, 2009-2013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8.0%</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18.8%</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Median value of owner-occupied housing units, 2009-2013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$48,900</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$132,400</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Households, 2009-2013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1,185</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323,136</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Persons per household, 2009-2013    </w:t>
            </w:r>
          </w:p>
        </w:tc>
        <w:tc>
          <w:tcPr>
            <w:tcW w:w="1018" w:type="dxa"/>
            <w:noWrap/>
            <w:hideMark/>
          </w:tcPr>
          <w:p w:rsidR="007B0643" w:rsidRPr="007B0643" w:rsidRDefault="007B0643" w:rsidP="007B0643">
            <w:pPr>
              <w:cnfStyle w:val="000000100000" w:firstRow="0" w:lastRow="0" w:firstColumn="0" w:lastColumn="0" w:oddVBand="0" w:evenVBand="0" w:oddHBand="1" w:evenHBand="0" w:firstRowFirstColumn="0" w:firstRowLastColumn="0" w:lastRowFirstColumn="0" w:lastRowLastColumn="0"/>
            </w:pPr>
            <w:r w:rsidRPr="007B0643">
              <w:t>3.44</w:t>
            </w:r>
          </w:p>
        </w:tc>
        <w:tc>
          <w:tcPr>
            <w:tcW w:w="1170" w:type="dxa"/>
            <w:noWrap/>
            <w:hideMark/>
          </w:tcPr>
          <w:p w:rsidR="007B0643" w:rsidRPr="007B0643" w:rsidRDefault="007B0643" w:rsidP="007B0643">
            <w:pPr>
              <w:cnfStyle w:val="000000100000" w:firstRow="0" w:lastRow="0" w:firstColumn="0" w:lastColumn="0" w:oddVBand="0" w:evenVBand="0" w:oddHBand="1" w:evenHBand="0" w:firstRowFirstColumn="0" w:firstRowLastColumn="0" w:lastRowFirstColumn="0" w:lastRowLastColumn="0"/>
            </w:pPr>
            <w:r w:rsidRPr="007B0643">
              <w:t>2.45</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Per capita money income in past 12 months (2013 dollars), 2009-2013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$14,262</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$25,740</w:t>
            </w:r>
          </w:p>
        </w:tc>
      </w:tr>
      <w:tr w:rsidR="007B0643" w:rsidRPr="007B064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Median household income, 2009-2013    </w:t>
            </w:r>
          </w:p>
        </w:tc>
        <w:tc>
          <w:tcPr>
            <w:tcW w:w="1018"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$30,880</w:t>
            </w:r>
          </w:p>
        </w:tc>
        <w:tc>
          <w:tcPr>
            <w:tcW w:w="1170" w:type="dxa"/>
            <w:noWrap/>
            <w:hideMark/>
          </w:tcPr>
          <w:p w:rsidR="007B0643" w:rsidRPr="007B0643" w:rsidRDefault="007B0643">
            <w:pPr>
              <w:cnfStyle w:val="000000100000" w:firstRow="0" w:lastRow="0" w:firstColumn="0" w:lastColumn="0" w:oddVBand="0" w:evenVBand="0" w:oddHBand="1" w:evenHBand="0" w:firstRowFirstColumn="0" w:firstRowLastColumn="0" w:lastRowFirstColumn="0" w:lastRowLastColumn="0"/>
            </w:pPr>
            <w:r w:rsidRPr="007B0643">
              <w:t>$49,495</w:t>
            </w:r>
          </w:p>
        </w:tc>
      </w:tr>
      <w:tr w:rsidR="007B0643" w:rsidRPr="007B0643" w:rsidTr="00193EA8">
        <w:trPr>
          <w:trHeight w:val="255"/>
        </w:trPr>
        <w:tc>
          <w:tcPr>
            <w:cnfStyle w:val="001000000000" w:firstRow="0" w:lastRow="0" w:firstColumn="1" w:lastColumn="0" w:oddVBand="0" w:evenVBand="0" w:oddHBand="0" w:evenHBand="0" w:firstRowFirstColumn="0" w:firstRowLastColumn="0" w:lastRowFirstColumn="0" w:lastRowLastColumn="0"/>
            <w:tcW w:w="7280" w:type="dxa"/>
            <w:noWrap/>
            <w:hideMark/>
          </w:tcPr>
          <w:p w:rsidR="007B0643" w:rsidRPr="007B0643" w:rsidRDefault="007B0643">
            <w:r w:rsidRPr="007B0643">
              <w:t xml:space="preserve">Persons below poverty level, percent, 2009-2013    </w:t>
            </w:r>
          </w:p>
        </w:tc>
        <w:tc>
          <w:tcPr>
            <w:tcW w:w="1018"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44.2%</w:t>
            </w:r>
          </w:p>
        </w:tc>
        <w:tc>
          <w:tcPr>
            <w:tcW w:w="1170" w:type="dxa"/>
            <w:noWrap/>
            <w:hideMark/>
          </w:tcPr>
          <w:p w:rsidR="007B0643" w:rsidRPr="007B0643" w:rsidRDefault="007B0643">
            <w:pPr>
              <w:cnfStyle w:val="000000000000" w:firstRow="0" w:lastRow="0" w:firstColumn="0" w:lastColumn="0" w:oddVBand="0" w:evenVBand="0" w:oddHBand="0" w:evenHBand="0" w:firstRowFirstColumn="0" w:firstRowLastColumn="0" w:lastRowFirstColumn="0" w:lastRowLastColumn="0"/>
            </w:pPr>
            <w:r w:rsidRPr="007B0643">
              <w:t>14.1%</w:t>
            </w:r>
          </w:p>
        </w:tc>
      </w:tr>
    </w:tbl>
    <w:p w:rsidR="007B0643" w:rsidRDefault="007B0643" w:rsidP="00297DEF"/>
    <w:tbl>
      <w:tblPr>
        <w:tblStyle w:val="LightList-Accent1"/>
        <w:tblW w:w="0" w:type="auto"/>
        <w:tblLook w:val="04A0" w:firstRow="1" w:lastRow="0" w:firstColumn="1" w:lastColumn="0" w:noHBand="0" w:noVBand="1"/>
      </w:tblPr>
      <w:tblGrid>
        <w:gridCol w:w="7242"/>
        <w:gridCol w:w="1146"/>
        <w:gridCol w:w="1080"/>
      </w:tblGrid>
      <w:tr w:rsidR="00157D9A" w:rsidRPr="00157D9A" w:rsidTr="00F7622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42" w:type="dxa"/>
            <w:noWrap/>
            <w:hideMark/>
          </w:tcPr>
          <w:p w:rsidR="00157D9A" w:rsidRPr="00157D9A" w:rsidRDefault="00157D9A">
            <w:r w:rsidRPr="00157D9A">
              <w:t xml:space="preserve">Geography </w:t>
            </w:r>
            <w:proofErr w:type="spellStart"/>
            <w:r w:rsidRPr="00157D9A">
              <w:t>QuickFacts</w:t>
            </w:r>
            <w:proofErr w:type="spellEnd"/>
          </w:p>
        </w:tc>
        <w:tc>
          <w:tcPr>
            <w:tcW w:w="1146" w:type="dxa"/>
            <w:noWrap/>
            <w:hideMark/>
          </w:tcPr>
          <w:p w:rsidR="00157D9A" w:rsidRPr="00157D9A" w:rsidRDefault="00157D9A">
            <w:pPr>
              <w:cnfStyle w:val="100000000000" w:firstRow="1" w:lastRow="0" w:firstColumn="0" w:lastColumn="0" w:oddVBand="0" w:evenVBand="0" w:oddHBand="0" w:evenHBand="0" w:firstRowFirstColumn="0" w:firstRowLastColumn="0" w:lastRowFirstColumn="0" w:lastRowLastColumn="0"/>
            </w:pPr>
            <w:r w:rsidRPr="00157D9A">
              <w:t>Corson County</w:t>
            </w:r>
          </w:p>
        </w:tc>
        <w:tc>
          <w:tcPr>
            <w:tcW w:w="1080" w:type="dxa"/>
            <w:noWrap/>
            <w:hideMark/>
          </w:tcPr>
          <w:p w:rsidR="00157D9A" w:rsidRPr="00157D9A" w:rsidRDefault="00157D9A">
            <w:pPr>
              <w:cnfStyle w:val="100000000000" w:firstRow="1" w:lastRow="0" w:firstColumn="0" w:lastColumn="0" w:oddVBand="0" w:evenVBand="0" w:oddHBand="0" w:evenHBand="0" w:firstRowFirstColumn="0" w:firstRowLastColumn="0" w:lastRowFirstColumn="0" w:lastRowLastColumn="0"/>
            </w:pPr>
            <w:r w:rsidRPr="00157D9A">
              <w:t>South Dakota</w:t>
            </w:r>
          </w:p>
        </w:tc>
      </w:tr>
      <w:tr w:rsidR="00157D9A" w:rsidRPr="00157D9A" w:rsidTr="00F762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42" w:type="dxa"/>
            <w:noWrap/>
            <w:hideMark/>
          </w:tcPr>
          <w:p w:rsidR="00157D9A" w:rsidRPr="00157D9A" w:rsidRDefault="00157D9A">
            <w:r w:rsidRPr="00157D9A">
              <w:t xml:space="preserve">Land area in square miles, 2010    </w:t>
            </w:r>
          </w:p>
        </w:tc>
        <w:tc>
          <w:tcPr>
            <w:tcW w:w="1146" w:type="dxa"/>
            <w:noWrap/>
            <w:hideMark/>
          </w:tcPr>
          <w:p w:rsidR="00157D9A" w:rsidRPr="00157D9A" w:rsidRDefault="00157D9A">
            <w:pPr>
              <w:cnfStyle w:val="000000100000" w:firstRow="0" w:lastRow="0" w:firstColumn="0" w:lastColumn="0" w:oddVBand="0" w:evenVBand="0" w:oddHBand="1" w:evenHBand="0" w:firstRowFirstColumn="0" w:firstRowLastColumn="0" w:lastRowFirstColumn="0" w:lastRowLastColumn="0"/>
            </w:pPr>
            <w:r w:rsidRPr="00157D9A">
              <w:t>2,469.69</w:t>
            </w:r>
          </w:p>
        </w:tc>
        <w:tc>
          <w:tcPr>
            <w:tcW w:w="1080" w:type="dxa"/>
            <w:noWrap/>
            <w:hideMark/>
          </w:tcPr>
          <w:p w:rsidR="00157D9A" w:rsidRPr="00157D9A" w:rsidRDefault="00F76224">
            <w:pPr>
              <w:cnfStyle w:val="000000100000" w:firstRow="0" w:lastRow="0" w:firstColumn="0" w:lastColumn="0" w:oddVBand="0" w:evenVBand="0" w:oddHBand="1" w:evenHBand="0" w:firstRowFirstColumn="0" w:firstRowLastColumn="0" w:lastRowFirstColumn="0" w:lastRowLastColumn="0"/>
            </w:pPr>
            <w:r>
              <w:t>75,811.00</w:t>
            </w:r>
          </w:p>
        </w:tc>
      </w:tr>
      <w:tr w:rsidR="00157D9A" w:rsidRPr="00157D9A" w:rsidTr="00F76224">
        <w:trPr>
          <w:trHeight w:val="255"/>
        </w:trPr>
        <w:tc>
          <w:tcPr>
            <w:cnfStyle w:val="001000000000" w:firstRow="0" w:lastRow="0" w:firstColumn="1" w:lastColumn="0" w:oddVBand="0" w:evenVBand="0" w:oddHBand="0" w:evenHBand="0" w:firstRowFirstColumn="0" w:firstRowLastColumn="0" w:lastRowFirstColumn="0" w:lastRowLastColumn="0"/>
            <w:tcW w:w="7242" w:type="dxa"/>
            <w:noWrap/>
            <w:hideMark/>
          </w:tcPr>
          <w:p w:rsidR="00157D9A" w:rsidRPr="00157D9A" w:rsidRDefault="00157D9A">
            <w:r w:rsidRPr="00157D9A">
              <w:t xml:space="preserve">Persons per square mile, 2010    </w:t>
            </w:r>
          </w:p>
        </w:tc>
        <w:tc>
          <w:tcPr>
            <w:tcW w:w="1146" w:type="dxa"/>
            <w:noWrap/>
            <w:hideMark/>
          </w:tcPr>
          <w:p w:rsidR="00157D9A" w:rsidRPr="00157D9A" w:rsidRDefault="00157D9A" w:rsidP="00157D9A">
            <w:pPr>
              <w:cnfStyle w:val="000000000000" w:firstRow="0" w:lastRow="0" w:firstColumn="0" w:lastColumn="0" w:oddVBand="0" w:evenVBand="0" w:oddHBand="0" w:evenHBand="0" w:firstRowFirstColumn="0" w:firstRowLastColumn="0" w:lastRowFirstColumn="0" w:lastRowLastColumn="0"/>
            </w:pPr>
            <w:r w:rsidRPr="00157D9A">
              <w:t>1.6</w:t>
            </w:r>
          </w:p>
        </w:tc>
        <w:tc>
          <w:tcPr>
            <w:tcW w:w="1080" w:type="dxa"/>
            <w:noWrap/>
            <w:hideMark/>
          </w:tcPr>
          <w:p w:rsidR="00157D9A" w:rsidRPr="00157D9A" w:rsidRDefault="00157D9A" w:rsidP="00157D9A">
            <w:pPr>
              <w:cnfStyle w:val="000000000000" w:firstRow="0" w:lastRow="0" w:firstColumn="0" w:lastColumn="0" w:oddVBand="0" w:evenVBand="0" w:oddHBand="0" w:evenHBand="0" w:firstRowFirstColumn="0" w:firstRowLastColumn="0" w:lastRowFirstColumn="0" w:lastRowLastColumn="0"/>
            </w:pPr>
            <w:r w:rsidRPr="00157D9A">
              <w:t>10.7</w:t>
            </w:r>
          </w:p>
        </w:tc>
      </w:tr>
      <w:tr w:rsidR="00157D9A" w:rsidRPr="00157D9A" w:rsidTr="00F7622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42" w:type="dxa"/>
            <w:noWrap/>
            <w:hideMark/>
          </w:tcPr>
          <w:p w:rsidR="00157D9A" w:rsidRPr="00157D9A" w:rsidRDefault="00157D9A">
            <w:r w:rsidRPr="00157D9A">
              <w:t xml:space="preserve">FIPS Code    </w:t>
            </w:r>
          </w:p>
        </w:tc>
        <w:tc>
          <w:tcPr>
            <w:tcW w:w="1146" w:type="dxa"/>
            <w:noWrap/>
            <w:hideMark/>
          </w:tcPr>
          <w:p w:rsidR="00157D9A" w:rsidRPr="00157D9A" w:rsidRDefault="00157D9A" w:rsidP="00157D9A">
            <w:pPr>
              <w:cnfStyle w:val="000000100000" w:firstRow="0" w:lastRow="0" w:firstColumn="0" w:lastColumn="0" w:oddVBand="0" w:evenVBand="0" w:oddHBand="1" w:evenHBand="0" w:firstRowFirstColumn="0" w:firstRowLastColumn="0" w:lastRowFirstColumn="0" w:lastRowLastColumn="0"/>
            </w:pPr>
            <w:r w:rsidRPr="00157D9A">
              <w:t>31</w:t>
            </w:r>
          </w:p>
        </w:tc>
        <w:tc>
          <w:tcPr>
            <w:tcW w:w="1080" w:type="dxa"/>
            <w:noWrap/>
            <w:hideMark/>
          </w:tcPr>
          <w:p w:rsidR="00157D9A" w:rsidRPr="00157D9A" w:rsidRDefault="00157D9A" w:rsidP="00157D9A">
            <w:pPr>
              <w:cnfStyle w:val="000000100000" w:firstRow="0" w:lastRow="0" w:firstColumn="0" w:lastColumn="0" w:oddVBand="0" w:evenVBand="0" w:oddHBand="1" w:evenHBand="0" w:firstRowFirstColumn="0" w:firstRowLastColumn="0" w:lastRowFirstColumn="0" w:lastRowLastColumn="0"/>
            </w:pPr>
            <w:r w:rsidRPr="00157D9A">
              <w:t>46</w:t>
            </w:r>
          </w:p>
        </w:tc>
      </w:tr>
      <w:tr w:rsidR="00157D9A" w:rsidRPr="00157D9A" w:rsidTr="00F76224">
        <w:trPr>
          <w:trHeight w:val="255"/>
        </w:trPr>
        <w:tc>
          <w:tcPr>
            <w:cnfStyle w:val="001000000000" w:firstRow="0" w:lastRow="0" w:firstColumn="1" w:lastColumn="0" w:oddVBand="0" w:evenVBand="0" w:oddHBand="0" w:evenHBand="0" w:firstRowFirstColumn="0" w:firstRowLastColumn="0" w:lastRowFirstColumn="0" w:lastRowLastColumn="0"/>
            <w:tcW w:w="7242" w:type="dxa"/>
            <w:noWrap/>
            <w:hideMark/>
          </w:tcPr>
          <w:p w:rsidR="00157D9A" w:rsidRPr="00157D9A" w:rsidRDefault="00157D9A">
            <w:r w:rsidRPr="00157D9A">
              <w:t xml:space="preserve">Metropolitan or </w:t>
            </w:r>
            <w:proofErr w:type="spellStart"/>
            <w:r w:rsidRPr="00157D9A">
              <w:t>Micropolitan</w:t>
            </w:r>
            <w:proofErr w:type="spellEnd"/>
            <w:r w:rsidRPr="00157D9A">
              <w:t xml:space="preserve"> Statistical Area    </w:t>
            </w:r>
          </w:p>
        </w:tc>
        <w:tc>
          <w:tcPr>
            <w:tcW w:w="1146" w:type="dxa"/>
            <w:noWrap/>
            <w:hideMark/>
          </w:tcPr>
          <w:p w:rsidR="00157D9A" w:rsidRPr="00157D9A" w:rsidRDefault="00157D9A">
            <w:pPr>
              <w:cnfStyle w:val="000000000000" w:firstRow="0" w:lastRow="0" w:firstColumn="0" w:lastColumn="0" w:oddVBand="0" w:evenVBand="0" w:oddHBand="0" w:evenHBand="0" w:firstRowFirstColumn="0" w:firstRowLastColumn="0" w:lastRowFirstColumn="0" w:lastRowLastColumn="0"/>
            </w:pPr>
            <w:r w:rsidRPr="00157D9A">
              <w:t>None</w:t>
            </w:r>
          </w:p>
        </w:tc>
        <w:tc>
          <w:tcPr>
            <w:tcW w:w="1080" w:type="dxa"/>
            <w:noWrap/>
            <w:hideMark/>
          </w:tcPr>
          <w:p w:rsidR="00157D9A" w:rsidRPr="00157D9A" w:rsidRDefault="00157D9A">
            <w:pPr>
              <w:cnfStyle w:val="000000000000" w:firstRow="0" w:lastRow="0" w:firstColumn="0" w:lastColumn="0" w:oddVBand="0" w:evenVBand="0" w:oddHBand="0" w:evenHBand="0" w:firstRowFirstColumn="0" w:firstRowLastColumn="0" w:lastRowFirstColumn="0" w:lastRowLastColumn="0"/>
            </w:pPr>
            <w:r w:rsidRPr="00157D9A">
              <w:t> </w:t>
            </w:r>
          </w:p>
        </w:tc>
      </w:tr>
    </w:tbl>
    <w:p w:rsidR="00157D9A" w:rsidRPr="00A762ED" w:rsidRDefault="00157D9A" w:rsidP="00A762ED">
      <w:pPr>
        <w:tabs>
          <w:tab w:val="left" w:pos="2104"/>
        </w:tabs>
      </w:pPr>
    </w:p>
    <w:p w:rsidR="001D49EE" w:rsidRDefault="00BE50A4" w:rsidP="00297DEF">
      <w:r>
        <w:rPr>
          <w:noProof/>
        </w:rPr>
        <w:lastRenderedPageBreak/>
        <w:drawing>
          <wp:inline distT="0" distB="0" distL="0" distR="0" wp14:anchorId="18944C8F" wp14:editId="0C49D3D5">
            <wp:extent cx="5943600" cy="44602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60240"/>
                    </a:xfrm>
                    <a:prstGeom prst="rect">
                      <a:avLst/>
                    </a:prstGeom>
                  </pic:spPr>
                </pic:pic>
              </a:graphicData>
            </a:graphic>
          </wp:inline>
        </w:drawing>
      </w:r>
    </w:p>
    <w:p w:rsidR="00297DEF" w:rsidRDefault="00297DEF" w:rsidP="00297DEF"/>
    <w:p w:rsidR="00863074" w:rsidRDefault="001A698D" w:rsidP="001A698D">
      <w:pPr>
        <w:pStyle w:val="Heading2"/>
      </w:pPr>
      <w:bookmarkStart w:id="34" w:name="_Toc416269455"/>
      <w:r>
        <w:t>Harding County</w:t>
      </w:r>
      <w:bookmarkEnd w:id="34"/>
    </w:p>
    <w:p w:rsidR="001A698D" w:rsidRDefault="000F3DD9" w:rsidP="00961C0C">
      <w:pPr>
        <w:spacing w:line="480" w:lineRule="auto"/>
        <w:ind w:firstLine="720"/>
      </w:pPr>
      <w:r>
        <w:t>Harding County, located in the most northwestern corner of South Dakota, has always been a small farming and ranching community. The county only has 1,262 residents, but it spans a land area of over 2,671 square miles. That being said, it is no surprise that people are few and far between. In fact, in Harding County there are only .5 persons per square mile throughout the county!</w:t>
      </w:r>
    </w:p>
    <w:p w:rsidR="000F3DD9" w:rsidRDefault="000F3DD9" w:rsidP="00961C0C">
      <w:pPr>
        <w:spacing w:line="480" w:lineRule="auto"/>
        <w:ind w:firstLine="720"/>
      </w:pPr>
      <w:r>
        <w:t xml:space="preserve">As mentioned above, nearly half the working population in Harding County </w:t>
      </w:r>
      <w:proofErr w:type="gramStart"/>
      <w:r>
        <w:t>call</w:t>
      </w:r>
      <w:proofErr w:type="gramEnd"/>
      <w:r>
        <w:t xml:space="preserve"> farming and ranching (Agriculture) their primary means of employment. The other inhabitants work in a </w:t>
      </w:r>
      <w:r w:rsidR="009A3BD8">
        <w:t>variety</w:t>
      </w:r>
      <w:r>
        <w:t xml:space="preserve"> of industries, but the education, health, and social service sectors have the second-most people working in their industry. </w:t>
      </w:r>
      <w:r w:rsidR="009A3BD8">
        <w:t xml:space="preserve">Harding County is an area that has not experienced much growth over the last few years (0.6%). The stagnant growth often </w:t>
      </w:r>
      <w:r w:rsidR="009A3BD8">
        <w:lastRenderedPageBreak/>
        <w:t>leads to stable employment. The unemployment rate in Harding County is lowest of all counties in TREC’s service area (approximately 2%).</w:t>
      </w:r>
    </w:p>
    <w:p w:rsidR="009A3BD8" w:rsidRDefault="00163335" w:rsidP="00961C0C">
      <w:pPr>
        <w:spacing w:line="480" w:lineRule="auto"/>
        <w:ind w:firstLine="720"/>
      </w:pPr>
      <w:r>
        <w:t xml:space="preserve">Opportunities for </w:t>
      </w:r>
      <w:r w:rsidR="00676983">
        <w:t>families</w:t>
      </w:r>
      <w:r>
        <w:t xml:space="preserve"> to pursue additional education and training are very limited for those who call Harding County home. The closest town of any size is Belle Fourche—which is nearly 70 miles south. Therefore, the closest postsecondary institution is Black Hills State University. Parents can also use online options to procure any job-related credentials or education training in order to advance their careers. As stated previously, unemployment and skills training are likely not in high demand with such a low unemployment rate. However, additional training can increase the economic power of the family.</w:t>
      </w:r>
    </w:p>
    <w:p w:rsidR="00961C0C" w:rsidRDefault="00163335" w:rsidP="00DC2AB5">
      <w:pPr>
        <w:spacing w:line="480" w:lineRule="auto"/>
        <w:ind w:firstLine="720"/>
      </w:pPr>
      <w:r>
        <w:t>There are not many options</w:t>
      </w:r>
      <w:r w:rsidR="00FD056B">
        <w:t xml:space="preserve"> in Harding County</w:t>
      </w:r>
      <w:r>
        <w:t xml:space="preserve"> for families when it comes to childcare. The isolated nature of the county does not lend itself to even having a choice in which provider will care for the children in Harding County. It is very likely that many parents (mother or father) are staying home with children to save on childcare costs. </w:t>
      </w:r>
    </w:p>
    <w:tbl>
      <w:tblPr>
        <w:tblStyle w:val="LightList-Accent1"/>
        <w:tblW w:w="9468" w:type="dxa"/>
        <w:tblLook w:val="04A0" w:firstRow="1" w:lastRow="0" w:firstColumn="1" w:lastColumn="0" w:noHBand="0" w:noVBand="1"/>
      </w:tblPr>
      <w:tblGrid>
        <w:gridCol w:w="6948"/>
        <w:gridCol w:w="1260"/>
        <w:gridCol w:w="1260"/>
      </w:tblGrid>
      <w:tr w:rsidR="00193EA8" w:rsidRPr="00193EA8" w:rsidTr="00193EA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People </w:t>
            </w:r>
            <w:proofErr w:type="spellStart"/>
            <w:r w:rsidRPr="00193EA8">
              <w:rPr>
                <w:rFonts w:ascii="Arial" w:eastAsia="Times New Roman" w:hAnsi="Arial" w:cs="Arial"/>
              </w:rPr>
              <w:t>QuickFacts</w:t>
            </w:r>
            <w:proofErr w:type="spellEnd"/>
          </w:p>
        </w:tc>
        <w:tc>
          <w:tcPr>
            <w:tcW w:w="1260" w:type="dxa"/>
            <w:noWrap/>
            <w:hideMark/>
          </w:tcPr>
          <w:p w:rsidR="00193EA8" w:rsidRPr="00193EA8" w:rsidRDefault="00193EA8" w:rsidP="00193EA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Harding County</w:t>
            </w:r>
          </w:p>
        </w:tc>
        <w:tc>
          <w:tcPr>
            <w:tcW w:w="1260" w:type="dxa"/>
            <w:noWrap/>
            <w:hideMark/>
          </w:tcPr>
          <w:p w:rsidR="00193EA8" w:rsidRPr="00193EA8" w:rsidRDefault="00193EA8" w:rsidP="00193EA8">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South Dakota</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Population, 2014 estimate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NA</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853,175</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Population, 2013 estimate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1,262</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845,510</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Population, 2010 (April 1) estimates base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1,255</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814,191</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Population, percent change - April 1, 2010 to July 1, 2014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NA</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4.8%</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Population, percent change - April 1, 2010 to July 1, 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0.6%</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3.8%</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Population, 2010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1,255</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814,180</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Persons under 5 years, percent, 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7.1%</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7.1%</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Persons under 18 years, percent, 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21.5%</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24.6%</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Persons 65 years and over, percent, 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15.6%</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14.9%</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Female persons, percent, 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46.4%</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49.8%</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White alone, percent, 2013 (a)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95.6%</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85.9%</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Black or African American alone, percent, 2013 (a)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0.6%</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1.9%</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American Indian and Alaska Native alone, percent, 2013 (a)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1.8%</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8.9%</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Asian alone, percent, 2013 (a)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0.2%</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1.2%</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Native Hawaiian and Other Pacific Islander alone, percent, 2013 (a)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0.0%</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0.1%</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Two or More Races, percent, 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1.9%</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2.1%</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Hispanic or Latino, percent, 2013 (b)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2.5%</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3.4%</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White alone, not Hispanic or Latino, percent, 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93.7%</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83.3%</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Living in same house 1 year &amp; over, percent, 2009-2013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90.3%</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83.6%</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lastRenderedPageBreak/>
              <w:t xml:space="preserve">Foreign born persons, percent, 2009-2013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1.8%</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2.8%</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Language other than English spoken at home, </w:t>
            </w:r>
            <w:proofErr w:type="spellStart"/>
            <w:r w:rsidRPr="00193EA8">
              <w:rPr>
                <w:rFonts w:ascii="Arial" w:eastAsia="Times New Roman" w:hAnsi="Arial" w:cs="Arial"/>
              </w:rPr>
              <w:t>pct</w:t>
            </w:r>
            <w:proofErr w:type="spellEnd"/>
            <w:r w:rsidRPr="00193EA8">
              <w:rPr>
                <w:rFonts w:ascii="Arial" w:eastAsia="Times New Roman" w:hAnsi="Arial" w:cs="Arial"/>
              </w:rPr>
              <w:t xml:space="preserve"> age 5+, 2009-2013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5.5%</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6.8%</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High school graduate or higher, percent of persons age 25+, 2009-2013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91.9%</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90.4%</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Bachelor's degree or higher, percent of persons age 25+, 2009-2013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35.1%</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26.2%</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Veterans, 2009-2013    </w:t>
            </w:r>
          </w:p>
        </w:tc>
        <w:tc>
          <w:tcPr>
            <w:tcW w:w="1260" w:type="dxa"/>
            <w:noWrap/>
            <w:hideMark/>
          </w:tcPr>
          <w:p w:rsidR="00193EA8" w:rsidRPr="00193EA8" w:rsidRDefault="00193EA8" w:rsidP="00193EA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69</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67,886</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Mean travel time to work (minutes), workers age 16+, 2009-2013    </w:t>
            </w:r>
          </w:p>
        </w:tc>
        <w:tc>
          <w:tcPr>
            <w:tcW w:w="1260" w:type="dxa"/>
            <w:noWrap/>
            <w:hideMark/>
          </w:tcPr>
          <w:p w:rsidR="00193EA8" w:rsidRPr="00193EA8" w:rsidRDefault="00193EA8" w:rsidP="00193EA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13.4</w:t>
            </w:r>
          </w:p>
        </w:tc>
        <w:tc>
          <w:tcPr>
            <w:tcW w:w="1260" w:type="dxa"/>
            <w:noWrap/>
            <w:hideMark/>
          </w:tcPr>
          <w:p w:rsidR="00193EA8" w:rsidRPr="00193EA8" w:rsidRDefault="00193EA8" w:rsidP="00193EA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16.9</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Housing units, 2013    </w:t>
            </w:r>
          </w:p>
        </w:tc>
        <w:tc>
          <w:tcPr>
            <w:tcW w:w="1260" w:type="dxa"/>
            <w:noWrap/>
            <w:hideMark/>
          </w:tcPr>
          <w:p w:rsidR="00193EA8" w:rsidRPr="00193EA8" w:rsidRDefault="00193EA8" w:rsidP="00193EA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725</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370,291</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Homeownership rate, 2009-2013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74.2%</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68.0%</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Housing units in multi-unit structures, percent, 2009-2013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1.3%</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18.8%</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Median value of owner-occupied housing units, 2009-2013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$69,400</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$132,400</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Households, 2009-2013    </w:t>
            </w:r>
          </w:p>
        </w:tc>
        <w:tc>
          <w:tcPr>
            <w:tcW w:w="1260" w:type="dxa"/>
            <w:noWrap/>
            <w:hideMark/>
          </w:tcPr>
          <w:p w:rsidR="00193EA8" w:rsidRPr="00193EA8" w:rsidRDefault="00193EA8" w:rsidP="00193EA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527</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323,136</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Persons per household, 2009-2013    </w:t>
            </w:r>
          </w:p>
        </w:tc>
        <w:tc>
          <w:tcPr>
            <w:tcW w:w="1260" w:type="dxa"/>
            <w:noWrap/>
            <w:hideMark/>
          </w:tcPr>
          <w:p w:rsidR="00193EA8" w:rsidRPr="00193EA8" w:rsidRDefault="00193EA8" w:rsidP="00193EA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2.39</w:t>
            </w:r>
          </w:p>
        </w:tc>
        <w:tc>
          <w:tcPr>
            <w:tcW w:w="1260" w:type="dxa"/>
            <w:noWrap/>
            <w:hideMark/>
          </w:tcPr>
          <w:p w:rsidR="00193EA8" w:rsidRPr="00193EA8" w:rsidRDefault="00193EA8" w:rsidP="00193EA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2.45</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Per capita money income in past 12 months (2013 dollars), 2009-2013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$22,247</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$25,740</w:t>
            </w:r>
          </w:p>
        </w:tc>
      </w:tr>
      <w:tr w:rsidR="00193EA8" w:rsidRPr="00193EA8"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Median household income, 2009-2013    </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$44,353</w:t>
            </w:r>
          </w:p>
        </w:tc>
        <w:tc>
          <w:tcPr>
            <w:tcW w:w="1260" w:type="dxa"/>
            <w:noWrap/>
            <w:hideMark/>
          </w:tcPr>
          <w:p w:rsidR="00193EA8" w:rsidRPr="00193EA8" w:rsidRDefault="00193EA8" w:rsidP="00193EA8">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193EA8">
              <w:rPr>
                <w:rFonts w:ascii="Arial" w:eastAsia="Times New Roman" w:hAnsi="Arial" w:cs="Arial"/>
              </w:rPr>
              <w:t>$49,495</w:t>
            </w:r>
          </w:p>
        </w:tc>
      </w:tr>
      <w:tr w:rsidR="00193EA8" w:rsidRPr="00193EA8" w:rsidTr="00193EA8">
        <w:trPr>
          <w:trHeight w:val="255"/>
        </w:trPr>
        <w:tc>
          <w:tcPr>
            <w:cnfStyle w:val="001000000000" w:firstRow="0" w:lastRow="0" w:firstColumn="1" w:lastColumn="0" w:oddVBand="0" w:evenVBand="0" w:oddHBand="0" w:evenHBand="0" w:firstRowFirstColumn="0" w:firstRowLastColumn="0" w:lastRowFirstColumn="0" w:lastRowLastColumn="0"/>
            <w:tcW w:w="6948" w:type="dxa"/>
            <w:noWrap/>
            <w:hideMark/>
          </w:tcPr>
          <w:p w:rsidR="00193EA8" w:rsidRPr="00193EA8" w:rsidRDefault="00193EA8" w:rsidP="00193EA8">
            <w:pPr>
              <w:rPr>
                <w:rFonts w:ascii="Arial" w:eastAsia="Times New Roman" w:hAnsi="Arial" w:cs="Arial"/>
              </w:rPr>
            </w:pPr>
            <w:r w:rsidRPr="00193EA8">
              <w:rPr>
                <w:rFonts w:ascii="Arial" w:eastAsia="Times New Roman" w:hAnsi="Arial" w:cs="Arial"/>
              </w:rPr>
              <w:t xml:space="preserve">Persons below poverty level, percent, 2009-2013    </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17.6%</w:t>
            </w:r>
          </w:p>
        </w:tc>
        <w:tc>
          <w:tcPr>
            <w:tcW w:w="1260" w:type="dxa"/>
            <w:noWrap/>
            <w:hideMark/>
          </w:tcPr>
          <w:p w:rsidR="00193EA8" w:rsidRPr="00193EA8" w:rsidRDefault="00193EA8" w:rsidP="00193E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193EA8">
              <w:rPr>
                <w:rFonts w:ascii="Arial" w:eastAsia="Times New Roman" w:hAnsi="Arial" w:cs="Arial"/>
              </w:rPr>
              <w:t>14.1%</w:t>
            </w:r>
          </w:p>
        </w:tc>
      </w:tr>
    </w:tbl>
    <w:p w:rsidR="005918D7" w:rsidRDefault="005918D7" w:rsidP="00297DEF"/>
    <w:tbl>
      <w:tblPr>
        <w:tblStyle w:val="LightList-Accent1"/>
        <w:tblW w:w="9468" w:type="dxa"/>
        <w:tblLook w:val="04A0" w:firstRow="1" w:lastRow="0" w:firstColumn="1" w:lastColumn="0" w:noHBand="0" w:noVBand="1"/>
      </w:tblPr>
      <w:tblGrid>
        <w:gridCol w:w="6855"/>
        <w:gridCol w:w="1260"/>
        <w:gridCol w:w="1353"/>
      </w:tblGrid>
      <w:tr w:rsidR="00CE0475" w:rsidRPr="00CE0475" w:rsidTr="00E42B6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855" w:type="dxa"/>
            <w:noWrap/>
            <w:hideMark/>
          </w:tcPr>
          <w:p w:rsidR="00CE0475" w:rsidRPr="00CE0475" w:rsidRDefault="00CE0475" w:rsidP="00CE0475">
            <w:pPr>
              <w:rPr>
                <w:rFonts w:ascii="Arial" w:eastAsia="Times New Roman" w:hAnsi="Arial" w:cs="Arial"/>
              </w:rPr>
            </w:pPr>
            <w:r w:rsidRPr="00CE0475">
              <w:rPr>
                <w:rFonts w:ascii="Arial" w:eastAsia="Times New Roman" w:hAnsi="Arial" w:cs="Arial"/>
              </w:rPr>
              <w:t xml:space="preserve">Geography </w:t>
            </w:r>
            <w:proofErr w:type="spellStart"/>
            <w:r w:rsidRPr="00CE0475">
              <w:rPr>
                <w:rFonts w:ascii="Arial" w:eastAsia="Times New Roman" w:hAnsi="Arial" w:cs="Arial"/>
              </w:rPr>
              <w:t>QuickFacts</w:t>
            </w:r>
            <w:proofErr w:type="spellEnd"/>
          </w:p>
        </w:tc>
        <w:tc>
          <w:tcPr>
            <w:tcW w:w="1260" w:type="dxa"/>
            <w:noWrap/>
            <w:hideMark/>
          </w:tcPr>
          <w:p w:rsidR="00CE0475" w:rsidRPr="00CE0475" w:rsidRDefault="00CE0475" w:rsidP="00CE047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CE0475">
              <w:rPr>
                <w:rFonts w:ascii="Arial" w:eastAsia="Times New Roman" w:hAnsi="Arial" w:cs="Arial"/>
              </w:rPr>
              <w:t>Harding County</w:t>
            </w:r>
          </w:p>
        </w:tc>
        <w:tc>
          <w:tcPr>
            <w:tcW w:w="1353" w:type="dxa"/>
            <w:noWrap/>
            <w:hideMark/>
          </w:tcPr>
          <w:p w:rsidR="00CE0475" w:rsidRPr="00CE0475" w:rsidRDefault="00CE0475" w:rsidP="00CE047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CE0475">
              <w:rPr>
                <w:rFonts w:ascii="Arial" w:eastAsia="Times New Roman" w:hAnsi="Arial" w:cs="Arial"/>
              </w:rPr>
              <w:t>South Dakota</w:t>
            </w:r>
          </w:p>
        </w:tc>
      </w:tr>
      <w:tr w:rsidR="00CE0475" w:rsidRPr="00CE0475" w:rsidTr="00E42B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855" w:type="dxa"/>
            <w:noWrap/>
            <w:hideMark/>
          </w:tcPr>
          <w:p w:rsidR="00CE0475" w:rsidRPr="00CE0475" w:rsidRDefault="00CE0475" w:rsidP="00CE0475">
            <w:pPr>
              <w:rPr>
                <w:rFonts w:ascii="Arial" w:eastAsia="Times New Roman" w:hAnsi="Arial" w:cs="Arial"/>
              </w:rPr>
            </w:pPr>
            <w:r w:rsidRPr="00CE0475">
              <w:rPr>
                <w:rFonts w:ascii="Arial" w:eastAsia="Times New Roman" w:hAnsi="Arial" w:cs="Arial"/>
              </w:rPr>
              <w:t xml:space="preserve">Land area in square miles, 2010    </w:t>
            </w:r>
          </w:p>
        </w:tc>
        <w:tc>
          <w:tcPr>
            <w:tcW w:w="1260" w:type="dxa"/>
            <w:noWrap/>
            <w:hideMark/>
          </w:tcPr>
          <w:p w:rsidR="00CE0475" w:rsidRPr="00CE0475" w:rsidRDefault="00CE0475" w:rsidP="00CE04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E0475">
              <w:rPr>
                <w:rFonts w:ascii="Arial" w:eastAsia="Times New Roman" w:hAnsi="Arial" w:cs="Arial"/>
              </w:rPr>
              <w:t>2,671.38</w:t>
            </w:r>
          </w:p>
        </w:tc>
        <w:tc>
          <w:tcPr>
            <w:tcW w:w="1353" w:type="dxa"/>
            <w:noWrap/>
            <w:hideMark/>
          </w:tcPr>
          <w:p w:rsidR="00CE0475" w:rsidRPr="00CE0475" w:rsidRDefault="00CE0475" w:rsidP="00CE047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E0475">
              <w:rPr>
                <w:rFonts w:ascii="Arial" w:eastAsia="Times New Roman" w:hAnsi="Arial" w:cs="Arial"/>
              </w:rPr>
              <w:t>75,811.00</w:t>
            </w:r>
          </w:p>
        </w:tc>
      </w:tr>
      <w:tr w:rsidR="00CE0475" w:rsidRPr="00CE0475" w:rsidTr="00E42B6D">
        <w:trPr>
          <w:trHeight w:val="255"/>
        </w:trPr>
        <w:tc>
          <w:tcPr>
            <w:cnfStyle w:val="001000000000" w:firstRow="0" w:lastRow="0" w:firstColumn="1" w:lastColumn="0" w:oddVBand="0" w:evenVBand="0" w:oddHBand="0" w:evenHBand="0" w:firstRowFirstColumn="0" w:firstRowLastColumn="0" w:lastRowFirstColumn="0" w:lastRowLastColumn="0"/>
            <w:tcW w:w="6855" w:type="dxa"/>
            <w:noWrap/>
            <w:hideMark/>
          </w:tcPr>
          <w:p w:rsidR="00CE0475" w:rsidRPr="00CE0475" w:rsidRDefault="00CE0475" w:rsidP="00CE0475">
            <w:pPr>
              <w:rPr>
                <w:rFonts w:ascii="Arial" w:eastAsia="Times New Roman" w:hAnsi="Arial" w:cs="Arial"/>
              </w:rPr>
            </w:pPr>
            <w:r w:rsidRPr="00CE0475">
              <w:rPr>
                <w:rFonts w:ascii="Arial" w:eastAsia="Times New Roman" w:hAnsi="Arial" w:cs="Arial"/>
              </w:rPr>
              <w:t xml:space="preserve">Persons per square mile, 2010    </w:t>
            </w:r>
          </w:p>
        </w:tc>
        <w:tc>
          <w:tcPr>
            <w:tcW w:w="1260" w:type="dxa"/>
            <w:noWrap/>
            <w:hideMark/>
          </w:tcPr>
          <w:p w:rsidR="00CE0475" w:rsidRPr="00CE0475" w:rsidRDefault="00CE0475" w:rsidP="00CE047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E0475">
              <w:rPr>
                <w:rFonts w:ascii="Arial" w:eastAsia="Times New Roman" w:hAnsi="Arial" w:cs="Arial"/>
              </w:rPr>
              <w:t>0.5</w:t>
            </w:r>
          </w:p>
        </w:tc>
        <w:tc>
          <w:tcPr>
            <w:tcW w:w="1353" w:type="dxa"/>
            <w:noWrap/>
            <w:hideMark/>
          </w:tcPr>
          <w:p w:rsidR="00CE0475" w:rsidRPr="00CE0475" w:rsidRDefault="00CE0475" w:rsidP="00CE0475">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E0475">
              <w:rPr>
                <w:rFonts w:ascii="Arial" w:eastAsia="Times New Roman" w:hAnsi="Arial" w:cs="Arial"/>
              </w:rPr>
              <w:t>10.7</w:t>
            </w:r>
          </w:p>
        </w:tc>
      </w:tr>
      <w:tr w:rsidR="00CE0475" w:rsidRPr="00CE0475" w:rsidTr="00E42B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855" w:type="dxa"/>
            <w:noWrap/>
            <w:hideMark/>
          </w:tcPr>
          <w:p w:rsidR="00CE0475" w:rsidRPr="00CE0475" w:rsidRDefault="00CE0475" w:rsidP="00CE0475">
            <w:pPr>
              <w:rPr>
                <w:rFonts w:ascii="Arial" w:eastAsia="Times New Roman" w:hAnsi="Arial" w:cs="Arial"/>
              </w:rPr>
            </w:pPr>
            <w:r w:rsidRPr="00CE0475">
              <w:rPr>
                <w:rFonts w:ascii="Arial" w:eastAsia="Times New Roman" w:hAnsi="Arial" w:cs="Arial"/>
              </w:rPr>
              <w:t xml:space="preserve">FIPS Code    </w:t>
            </w:r>
          </w:p>
        </w:tc>
        <w:tc>
          <w:tcPr>
            <w:tcW w:w="1260" w:type="dxa"/>
            <w:noWrap/>
            <w:hideMark/>
          </w:tcPr>
          <w:p w:rsidR="00CE0475" w:rsidRPr="00CE0475" w:rsidRDefault="00CE0475" w:rsidP="00CE047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E0475">
              <w:rPr>
                <w:rFonts w:ascii="Arial" w:eastAsia="Times New Roman" w:hAnsi="Arial" w:cs="Arial"/>
              </w:rPr>
              <w:t>63</w:t>
            </w:r>
          </w:p>
        </w:tc>
        <w:tc>
          <w:tcPr>
            <w:tcW w:w="1353" w:type="dxa"/>
            <w:noWrap/>
            <w:hideMark/>
          </w:tcPr>
          <w:p w:rsidR="00CE0475" w:rsidRPr="00CE0475" w:rsidRDefault="00CE0475" w:rsidP="00CE047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CE0475">
              <w:rPr>
                <w:rFonts w:ascii="Arial" w:eastAsia="Times New Roman" w:hAnsi="Arial" w:cs="Arial"/>
              </w:rPr>
              <w:t>46</w:t>
            </w:r>
          </w:p>
        </w:tc>
      </w:tr>
      <w:tr w:rsidR="00CE0475" w:rsidRPr="00CE0475" w:rsidTr="00E42B6D">
        <w:trPr>
          <w:trHeight w:val="255"/>
        </w:trPr>
        <w:tc>
          <w:tcPr>
            <w:cnfStyle w:val="001000000000" w:firstRow="0" w:lastRow="0" w:firstColumn="1" w:lastColumn="0" w:oddVBand="0" w:evenVBand="0" w:oddHBand="0" w:evenHBand="0" w:firstRowFirstColumn="0" w:firstRowLastColumn="0" w:lastRowFirstColumn="0" w:lastRowLastColumn="0"/>
            <w:tcW w:w="6855" w:type="dxa"/>
            <w:noWrap/>
            <w:hideMark/>
          </w:tcPr>
          <w:p w:rsidR="00CE0475" w:rsidRPr="00CE0475" w:rsidRDefault="00CE0475" w:rsidP="00CE0475">
            <w:pPr>
              <w:rPr>
                <w:rFonts w:ascii="Arial" w:eastAsia="Times New Roman" w:hAnsi="Arial" w:cs="Arial"/>
              </w:rPr>
            </w:pPr>
            <w:r w:rsidRPr="00CE0475">
              <w:rPr>
                <w:rFonts w:ascii="Arial" w:eastAsia="Times New Roman" w:hAnsi="Arial" w:cs="Arial"/>
              </w:rPr>
              <w:t xml:space="preserve">Metropolitan or </w:t>
            </w:r>
            <w:proofErr w:type="spellStart"/>
            <w:r w:rsidRPr="00CE0475">
              <w:rPr>
                <w:rFonts w:ascii="Arial" w:eastAsia="Times New Roman" w:hAnsi="Arial" w:cs="Arial"/>
              </w:rPr>
              <w:t>Micropolitan</w:t>
            </w:r>
            <w:proofErr w:type="spellEnd"/>
            <w:r w:rsidRPr="00CE0475">
              <w:rPr>
                <w:rFonts w:ascii="Arial" w:eastAsia="Times New Roman" w:hAnsi="Arial" w:cs="Arial"/>
              </w:rPr>
              <w:t xml:space="preserve"> Statistical Area    </w:t>
            </w:r>
          </w:p>
        </w:tc>
        <w:tc>
          <w:tcPr>
            <w:tcW w:w="1260" w:type="dxa"/>
            <w:noWrap/>
            <w:hideMark/>
          </w:tcPr>
          <w:p w:rsidR="00CE0475" w:rsidRPr="00CE0475" w:rsidRDefault="00CE0475" w:rsidP="00CE04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E0475">
              <w:rPr>
                <w:rFonts w:ascii="Arial" w:eastAsia="Times New Roman" w:hAnsi="Arial" w:cs="Arial"/>
              </w:rPr>
              <w:t>None</w:t>
            </w:r>
          </w:p>
        </w:tc>
        <w:tc>
          <w:tcPr>
            <w:tcW w:w="1353" w:type="dxa"/>
            <w:noWrap/>
            <w:hideMark/>
          </w:tcPr>
          <w:p w:rsidR="00CE0475" w:rsidRPr="00CE0475" w:rsidRDefault="00CE0475" w:rsidP="00CE047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CE0475">
              <w:rPr>
                <w:rFonts w:ascii="Arial" w:eastAsia="Times New Roman" w:hAnsi="Arial" w:cs="Arial"/>
              </w:rPr>
              <w:t> </w:t>
            </w:r>
          </w:p>
        </w:tc>
      </w:tr>
    </w:tbl>
    <w:p w:rsidR="005918D7" w:rsidRDefault="005918D7" w:rsidP="00297DEF"/>
    <w:p w:rsidR="005918D7" w:rsidRPr="005918D7" w:rsidRDefault="005918D7" w:rsidP="005918D7">
      <w:r>
        <w:rPr>
          <w:noProof/>
        </w:rPr>
        <w:lastRenderedPageBreak/>
        <w:drawing>
          <wp:inline distT="0" distB="0" distL="0" distR="0" wp14:anchorId="073B1B38" wp14:editId="018FFA61">
            <wp:extent cx="5943600" cy="4411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11980"/>
                    </a:xfrm>
                    <a:prstGeom prst="rect">
                      <a:avLst/>
                    </a:prstGeom>
                  </pic:spPr>
                </pic:pic>
              </a:graphicData>
            </a:graphic>
          </wp:inline>
        </w:drawing>
      </w:r>
    </w:p>
    <w:p w:rsidR="005918D7" w:rsidRDefault="005918D7" w:rsidP="005918D7"/>
    <w:p w:rsidR="00297DEF" w:rsidRDefault="005918D7" w:rsidP="005918D7">
      <w:pPr>
        <w:tabs>
          <w:tab w:val="left" w:pos="3669"/>
        </w:tabs>
      </w:pPr>
      <w:r>
        <w:tab/>
      </w:r>
    </w:p>
    <w:p w:rsidR="00D57E0D" w:rsidRDefault="001A698D" w:rsidP="001A698D">
      <w:pPr>
        <w:pStyle w:val="Heading2"/>
      </w:pPr>
      <w:bookmarkStart w:id="35" w:name="_Toc416269456"/>
      <w:r>
        <w:t>Perkins County</w:t>
      </w:r>
      <w:bookmarkEnd w:id="35"/>
    </w:p>
    <w:p w:rsidR="004B48F3" w:rsidRDefault="00163335" w:rsidP="00961C0C">
      <w:pPr>
        <w:spacing w:line="480" w:lineRule="auto"/>
        <w:ind w:firstLine="720"/>
      </w:pPr>
      <w:r>
        <w:t>Perkins County neighbors Harding County in the eastern direction. Like Harding County, Perkins County is sparsely populated, and lies within a very large geographic land area. As of 2013, 3,037 people were living within the boundaries of Perkins County. The county covers approximately 3,000 square miles, which means there is about 1 person per square mile. The largest community in Perkins County is Lemmon. Lemmon is home to one of TREC’s Head Start centers.</w:t>
      </w:r>
    </w:p>
    <w:p w:rsidR="00163335" w:rsidRDefault="00163335" w:rsidP="00961C0C">
      <w:pPr>
        <w:spacing w:line="480" w:lineRule="auto"/>
        <w:ind w:firstLine="720"/>
      </w:pPr>
      <w:r>
        <w:t xml:space="preserve">People living in Perkins County are employed in a variety of industries. Education (20.90%) and Agriculture (27.90%) are where most people work currently. However, other industries, such as Construction and Retail Trade, </w:t>
      </w:r>
      <w:r>
        <w:lastRenderedPageBreak/>
        <w:t xml:space="preserve">offer stable employment for the residents. Unemployment trends in Perkins County have historically been relatively low. On average, the employment rate is below 4%. </w:t>
      </w:r>
    </w:p>
    <w:p w:rsidR="00163335" w:rsidRDefault="00163335" w:rsidP="00961C0C">
      <w:pPr>
        <w:spacing w:line="480" w:lineRule="auto"/>
        <w:ind w:firstLine="720"/>
      </w:pPr>
      <w:r>
        <w:t>Like other rural areas, advancing one’s educational level and workforce skills is problematic in such a small area. The most likely and available option for those residing in Perkins County to obtain training and education is through online delivery. While this is no substitute for an in-person experience, education and training are available for those who seek it.</w:t>
      </w:r>
    </w:p>
    <w:p w:rsidR="00163335" w:rsidRPr="004B48F3" w:rsidRDefault="00163335" w:rsidP="00961C0C">
      <w:pPr>
        <w:spacing w:line="480" w:lineRule="auto"/>
        <w:ind w:firstLine="720"/>
      </w:pPr>
      <w:r>
        <w:t>Perkins County does have child care available for those who need it. Although there are not a wide variety of options, there are two providers who serve approximately 35 children in the area. This is primarily centered in the town of Lemmon. The other town in Perkins county requiring child care is Bison. Currently, there are no registered or licensed facilities in Bison to care for children. There is a solid opportunity to partner with the town in order to provide child care to those living in the Bison area.</w:t>
      </w:r>
    </w:p>
    <w:tbl>
      <w:tblPr>
        <w:tblStyle w:val="LightList-Accent1"/>
        <w:tblW w:w="9439" w:type="dxa"/>
        <w:tblLook w:val="04A0" w:firstRow="1" w:lastRow="0" w:firstColumn="1" w:lastColumn="0" w:noHBand="0" w:noVBand="1"/>
      </w:tblPr>
      <w:tblGrid>
        <w:gridCol w:w="7218"/>
        <w:gridCol w:w="1170"/>
        <w:gridCol w:w="1051"/>
      </w:tblGrid>
      <w:tr w:rsidR="004B48F3" w:rsidRPr="004B48F3" w:rsidTr="0016333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People </w:t>
            </w:r>
            <w:proofErr w:type="spellStart"/>
            <w:r w:rsidRPr="004B48F3">
              <w:rPr>
                <w:rFonts w:ascii="Arial" w:eastAsia="Times New Roman" w:hAnsi="Arial" w:cs="Arial"/>
              </w:rPr>
              <w:t>QuickFacts</w:t>
            </w:r>
            <w:proofErr w:type="spellEnd"/>
          </w:p>
        </w:tc>
        <w:tc>
          <w:tcPr>
            <w:tcW w:w="1170" w:type="dxa"/>
            <w:noWrap/>
            <w:hideMark/>
          </w:tcPr>
          <w:p w:rsidR="004B48F3" w:rsidRPr="004B48F3" w:rsidRDefault="004B48F3" w:rsidP="004B48F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Perkins County</w:t>
            </w:r>
          </w:p>
        </w:tc>
        <w:tc>
          <w:tcPr>
            <w:tcW w:w="1051" w:type="dxa"/>
            <w:noWrap/>
            <w:hideMark/>
          </w:tcPr>
          <w:p w:rsidR="004B48F3" w:rsidRPr="004B48F3" w:rsidRDefault="004B48F3" w:rsidP="004B48F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South Dakota</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2014 estimate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NA</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853,175</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2013 estimate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3,037</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845,510</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2010 (April 1) estimates base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2,982</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814,191</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percent change - April 1, 2010 to July 1, 2014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NA</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4.8%</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percent change - April 1, 2010 to July 1, 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1.8%</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3.8%</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2010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2,982</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814,180</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under 5 years, percent, 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5.2%</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7.1%</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under 18 years, percent, 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21.3%</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24.6%</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65 years and over, percent, 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23.5%</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14.9%</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Female persons, percent, 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48.6%</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49.8%</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White alone, percent, 2013 (a)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96.9%</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85.9%</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Black or African American alone, percent, 2013 (a)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0.3%</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1.9%</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American Indian and Alaska Native alone, percent, 2013 (a)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1.5%</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8.9%</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Asian alone, percent, 2013 (a)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0.3%</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1.2%</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Native Hawaiian and Other Pacific Islander alone, percent, 2013 (a)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0.0%</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0.1%</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Two or More Races, percent, 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1.0%</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2.1%</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Hispanic or Latino, percent, 2013 (b)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1.1%</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3.4%</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White alone, not Hispanic or Latino, percent, 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96.0%</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83.3%</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Living in same house 1 year &amp; over, percent, 2009-2013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87.8%</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83.6%</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Foreign born persons, percent, 2009-2013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1.1%</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2.8%</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Language other than English spoken at home, </w:t>
            </w:r>
            <w:proofErr w:type="spellStart"/>
            <w:r w:rsidRPr="004B48F3">
              <w:rPr>
                <w:rFonts w:ascii="Arial" w:eastAsia="Times New Roman" w:hAnsi="Arial" w:cs="Arial"/>
              </w:rPr>
              <w:t>pct</w:t>
            </w:r>
            <w:proofErr w:type="spellEnd"/>
            <w:r w:rsidRPr="004B48F3">
              <w:rPr>
                <w:rFonts w:ascii="Arial" w:eastAsia="Times New Roman" w:hAnsi="Arial" w:cs="Arial"/>
              </w:rPr>
              <w:t xml:space="preserve"> age 5+, 2009-2013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2.1%</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6.8%</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lastRenderedPageBreak/>
              <w:t xml:space="preserve">High school graduate or higher, percent of persons age 25+, 2009-2013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86.2%</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90.4%</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Bachelor's degree or higher, percent of persons age 25+, 2009-2013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17.9%</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26.2%</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Veterans, 2009-2013    </w:t>
            </w:r>
          </w:p>
        </w:tc>
        <w:tc>
          <w:tcPr>
            <w:tcW w:w="1170" w:type="dxa"/>
            <w:noWrap/>
            <w:hideMark/>
          </w:tcPr>
          <w:p w:rsidR="004B48F3" w:rsidRPr="004B48F3" w:rsidRDefault="004B48F3" w:rsidP="004B48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253</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67,886</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Mean travel time to work (minutes), workers age 16+, 2009-2013    </w:t>
            </w:r>
          </w:p>
        </w:tc>
        <w:tc>
          <w:tcPr>
            <w:tcW w:w="1170"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12.7</w:t>
            </w:r>
          </w:p>
        </w:tc>
        <w:tc>
          <w:tcPr>
            <w:tcW w:w="1051"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16.9</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Housing units, 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1,728</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370,291</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Homeownership rate, 2009-2013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71.2%</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68.0%</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Housing units in multi-unit structures, percent, 2009-2013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11.2%</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18.8%</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Median value of owner-occupied housing units, 2009-2013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$56,700</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$132,400</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Households, 2009-2013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1,364</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323,136</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per household, 2009-2013    </w:t>
            </w:r>
          </w:p>
        </w:tc>
        <w:tc>
          <w:tcPr>
            <w:tcW w:w="1170"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2.09</w:t>
            </w:r>
          </w:p>
        </w:tc>
        <w:tc>
          <w:tcPr>
            <w:tcW w:w="1051"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2.45</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 capita money income in past 12 months (2013 dollars), 2009-2013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$25,751</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$25,740</w:t>
            </w:r>
          </w:p>
        </w:tc>
      </w:tr>
      <w:tr w:rsidR="004B48F3" w:rsidRPr="004B48F3" w:rsidTr="0016333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Median household income, 2009-2013    </w:t>
            </w:r>
          </w:p>
        </w:tc>
        <w:tc>
          <w:tcPr>
            <w:tcW w:w="117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$38,362</w:t>
            </w:r>
          </w:p>
        </w:tc>
        <w:tc>
          <w:tcPr>
            <w:tcW w:w="1051"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$49,495</w:t>
            </w:r>
          </w:p>
        </w:tc>
      </w:tr>
      <w:tr w:rsidR="004B48F3" w:rsidRPr="004B48F3" w:rsidTr="00163335">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below poverty level, percent, 2009-2013    </w:t>
            </w:r>
          </w:p>
        </w:tc>
        <w:tc>
          <w:tcPr>
            <w:tcW w:w="117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14.1%</w:t>
            </w:r>
          </w:p>
        </w:tc>
        <w:tc>
          <w:tcPr>
            <w:tcW w:w="1051"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14.1%</w:t>
            </w:r>
          </w:p>
        </w:tc>
      </w:tr>
    </w:tbl>
    <w:tbl>
      <w:tblPr>
        <w:tblStyle w:val="LightList-Accent1"/>
        <w:tblpPr w:leftFromText="180" w:rightFromText="180" w:vertAnchor="page" w:horzAnchor="margin" w:tblpY="5636"/>
        <w:tblOverlap w:val="never"/>
        <w:tblW w:w="9468" w:type="dxa"/>
        <w:tblLook w:val="04A0" w:firstRow="1" w:lastRow="0" w:firstColumn="1" w:lastColumn="0" w:noHBand="0" w:noVBand="1"/>
      </w:tblPr>
      <w:tblGrid>
        <w:gridCol w:w="7218"/>
        <w:gridCol w:w="1170"/>
        <w:gridCol w:w="1080"/>
      </w:tblGrid>
      <w:tr w:rsidR="00E42B6D" w:rsidRPr="004B48F3" w:rsidTr="00E42B6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E42B6D" w:rsidRPr="004B48F3" w:rsidRDefault="00E42B6D" w:rsidP="00E42B6D">
            <w:pPr>
              <w:rPr>
                <w:rFonts w:ascii="Arial" w:eastAsia="Times New Roman" w:hAnsi="Arial" w:cs="Arial"/>
              </w:rPr>
            </w:pPr>
            <w:r w:rsidRPr="004B48F3">
              <w:rPr>
                <w:rFonts w:ascii="Arial" w:eastAsia="Times New Roman" w:hAnsi="Arial" w:cs="Arial"/>
              </w:rPr>
              <w:t xml:space="preserve">Geography </w:t>
            </w:r>
            <w:proofErr w:type="spellStart"/>
            <w:r w:rsidRPr="004B48F3">
              <w:rPr>
                <w:rFonts w:ascii="Arial" w:eastAsia="Times New Roman" w:hAnsi="Arial" w:cs="Arial"/>
              </w:rPr>
              <w:t>QuickFacts</w:t>
            </w:r>
            <w:proofErr w:type="spellEnd"/>
          </w:p>
        </w:tc>
        <w:tc>
          <w:tcPr>
            <w:tcW w:w="1170" w:type="dxa"/>
            <w:noWrap/>
            <w:hideMark/>
          </w:tcPr>
          <w:p w:rsidR="00E42B6D" w:rsidRPr="004B48F3" w:rsidRDefault="00E42B6D" w:rsidP="00E42B6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Perkins County</w:t>
            </w:r>
          </w:p>
        </w:tc>
        <w:tc>
          <w:tcPr>
            <w:tcW w:w="1080" w:type="dxa"/>
            <w:noWrap/>
            <w:hideMark/>
          </w:tcPr>
          <w:p w:rsidR="00E42B6D" w:rsidRPr="004B48F3" w:rsidRDefault="00E42B6D" w:rsidP="00E42B6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South Dakota</w:t>
            </w:r>
          </w:p>
        </w:tc>
      </w:tr>
      <w:tr w:rsidR="00E42B6D" w:rsidRPr="004B48F3" w:rsidTr="00E42B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E42B6D" w:rsidRPr="004B48F3" w:rsidRDefault="00E42B6D" w:rsidP="00E42B6D">
            <w:pPr>
              <w:rPr>
                <w:rFonts w:ascii="Arial" w:eastAsia="Times New Roman" w:hAnsi="Arial" w:cs="Arial"/>
              </w:rPr>
            </w:pPr>
            <w:r w:rsidRPr="004B48F3">
              <w:rPr>
                <w:rFonts w:ascii="Arial" w:eastAsia="Times New Roman" w:hAnsi="Arial" w:cs="Arial"/>
              </w:rPr>
              <w:t xml:space="preserve">Land area in square miles, 2010    </w:t>
            </w:r>
          </w:p>
        </w:tc>
        <w:tc>
          <w:tcPr>
            <w:tcW w:w="1170" w:type="dxa"/>
            <w:noWrap/>
            <w:hideMark/>
          </w:tcPr>
          <w:p w:rsidR="00E42B6D" w:rsidRPr="004B48F3" w:rsidRDefault="00E42B6D" w:rsidP="00E42B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2,870.48</w:t>
            </w:r>
          </w:p>
        </w:tc>
        <w:tc>
          <w:tcPr>
            <w:tcW w:w="1080" w:type="dxa"/>
            <w:noWrap/>
            <w:hideMark/>
          </w:tcPr>
          <w:p w:rsidR="00E42B6D" w:rsidRPr="004B48F3" w:rsidRDefault="00E42B6D" w:rsidP="00E42B6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Pr>
                <w:rFonts w:ascii="Arial" w:eastAsia="Times New Roman" w:hAnsi="Arial" w:cs="Arial"/>
              </w:rPr>
              <w:t>75,811</w:t>
            </w:r>
          </w:p>
        </w:tc>
      </w:tr>
      <w:tr w:rsidR="00E42B6D" w:rsidRPr="004B48F3" w:rsidTr="00E42B6D">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E42B6D" w:rsidRPr="004B48F3" w:rsidRDefault="00E42B6D" w:rsidP="00E42B6D">
            <w:pPr>
              <w:rPr>
                <w:rFonts w:ascii="Arial" w:eastAsia="Times New Roman" w:hAnsi="Arial" w:cs="Arial"/>
              </w:rPr>
            </w:pPr>
            <w:r w:rsidRPr="004B48F3">
              <w:rPr>
                <w:rFonts w:ascii="Arial" w:eastAsia="Times New Roman" w:hAnsi="Arial" w:cs="Arial"/>
              </w:rPr>
              <w:t xml:space="preserve">Persons per square mile, 2010    </w:t>
            </w:r>
          </w:p>
        </w:tc>
        <w:tc>
          <w:tcPr>
            <w:tcW w:w="1170" w:type="dxa"/>
            <w:noWrap/>
            <w:hideMark/>
          </w:tcPr>
          <w:p w:rsidR="00E42B6D" w:rsidRPr="004B48F3" w:rsidRDefault="00E42B6D" w:rsidP="00E42B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w:t>
            </w:r>
          </w:p>
        </w:tc>
        <w:tc>
          <w:tcPr>
            <w:tcW w:w="1080" w:type="dxa"/>
            <w:noWrap/>
            <w:hideMark/>
          </w:tcPr>
          <w:p w:rsidR="00E42B6D" w:rsidRPr="004B48F3" w:rsidRDefault="00E42B6D" w:rsidP="00E42B6D">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10.7</w:t>
            </w:r>
          </w:p>
        </w:tc>
      </w:tr>
      <w:tr w:rsidR="00E42B6D" w:rsidRPr="004B48F3" w:rsidTr="00E42B6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E42B6D" w:rsidRPr="004B48F3" w:rsidRDefault="00E42B6D" w:rsidP="00E42B6D">
            <w:pPr>
              <w:rPr>
                <w:rFonts w:ascii="Arial" w:eastAsia="Times New Roman" w:hAnsi="Arial" w:cs="Arial"/>
              </w:rPr>
            </w:pPr>
            <w:r w:rsidRPr="004B48F3">
              <w:rPr>
                <w:rFonts w:ascii="Arial" w:eastAsia="Times New Roman" w:hAnsi="Arial" w:cs="Arial"/>
              </w:rPr>
              <w:t xml:space="preserve">FIPS Code    </w:t>
            </w:r>
          </w:p>
        </w:tc>
        <w:tc>
          <w:tcPr>
            <w:tcW w:w="1170" w:type="dxa"/>
            <w:noWrap/>
            <w:hideMark/>
          </w:tcPr>
          <w:p w:rsidR="00E42B6D" w:rsidRPr="004B48F3" w:rsidRDefault="00E42B6D" w:rsidP="00E42B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105</w:t>
            </w:r>
          </w:p>
        </w:tc>
        <w:tc>
          <w:tcPr>
            <w:tcW w:w="1080" w:type="dxa"/>
            <w:noWrap/>
            <w:hideMark/>
          </w:tcPr>
          <w:p w:rsidR="00E42B6D" w:rsidRPr="004B48F3" w:rsidRDefault="00E42B6D" w:rsidP="00E42B6D">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46</w:t>
            </w:r>
          </w:p>
        </w:tc>
      </w:tr>
      <w:tr w:rsidR="00E42B6D" w:rsidRPr="004B48F3" w:rsidTr="00E42B6D">
        <w:trPr>
          <w:trHeight w:val="255"/>
        </w:trPr>
        <w:tc>
          <w:tcPr>
            <w:cnfStyle w:val="001000000000" w:firstRow="0" w:lastRow="0" w:firstColumn="1" w:lastColumn="0" w:oddVBand="0" w:evenVBand="0" w:oddHBand="0" w:evenHBand="0" w:firstRowFirstColumn="0" w:firstRowLastColumn="0" w:lastRowFirstColumn="0" w:lastRowLastColumn="0"/>
            <w:tcW w:w="7218" w:type="dxa"/>
            <w:noWrap/>
            <w:hideMark/>
          </w:tcPr>
          <w:p w:rsidR="00E42B6D" w:rsidRPr="004B48F3" w:rsidRDefault="00E42B6D" w:rsidP="00E42B6D">
            <w:pPr>
              <w:rPr>
                <w:rFonts w:ascii="Arial" w:eastAsia="Times New Roman" w:hAnsi="Arial" w:cs="Arial"/>
              </w:rPr>
            </w:pPr>
            <w:r w:rsidRPr="004B48F3">
              <w:rPr>
                <w:rFonts w:ascii="Arial" w:eastAsia="Times New Roman" w:hAnsi="Arial" w:cs="Arial"/>
              </w:rPr>
              <w:t xml:space="preserve">Metropolitan or </w:t>
            </w:r>
            <w:proofErr w:type="spellStart"/>
            <w:r w:rsidRPr="004B48F3">
              <w:rPr>
                <w:rFonts w:ascii="Arial" w:eastAsia="Times New Roman" w:hAnsi="Arial" w:cs="Arial"/>
              </w:rPr>
              <w:t>Micropolitan</w:t>
            </w:r>
            <w:proofErr w:type="spellEnd"/>
            <w:r w:rsidRPr="004B48F3">
              <w:rPr>
                <w:rFonts w:ascii="Arial" w:eastAsia="Times New Roman" w:hAnsi="Arial" w:cs="Arial"/>
              </w:rPr>
              <w:t xml:space="preserve"> Statistical Area    </w:t>
            </w:r>
          </w:p>
        </w:tc>
        <w:tc>
          <w:tcPr>
            <w:tcW w:w="1170" w:type="dxa"/>
            <w:noWrap/>
            <w:hideMark/>
          </w:tcPr>
          <w:p w:rsidR="00E42B6D" w:rsidRPr="004B48F3" w:rsidRDefault="00E42B6D" w:rsidP="00E42B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None</w:t>
            </w:r>
          </w:p>
        </w:tc>
        <w:tc>
          <w:tcPr>
            <w:tcW w:w="1080" w:type="dxa"/>
            <w:noWrap/>
            <w:hideMark/>
          </w:tcPr>
          <w:p w:rsidR="00E42B6D" w:rsidRPr="004B48F3" w:rsidRDefault="00E42B6D" w:rsidP="00E42B6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 </w:t>
            </w:r>
          </w:p>
        </w:tc>
      </w:tr>
    </w:tbl>
    <w:p w:rsidR="00163335" w:rsidRDefault="00E60C3B" w:rsidP="00297DEF">
      <w:r>
        <w:rPr>
          <w:noProof/>
        </w:rPr>
        <w:lastRenderedPageBreak/>
        <w:drawing>
          <wp:inline distT="0" distB="0" distL="0" distR="0" wp14:anchorId="7B05D10C" wp14:editId="2931AB54">
            <wp:extent cx="5943600" cy="4285615"/>
            <wp:effectExtent l="0" t="0" r="0" b="63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285615"/>
                    </a:xfrm>
                    <a:prstGeom prst="rect">
                      <a:avLst/>
                    </a:prstGeom>
                  </pic:spPr>
                </pic:pic>
              </a:graphicData>
            </a:graphic>
          </wp:inline>
        </w:drawing>
      </w:r>
    </w:p>
    <w:p w:rsidR="00297DEF" w:rsidRDefault="00297DEF" w:rsidP="00297DEF"/>
    <w:p w:rsidR="00297DEF" w:rsidRDefault="00297DEF" w:rsidP="00297DEF">
      <w:pPr>
        <w:pStyle w:val="Heading2"/>
      </w:pPr>
      <w:bookmarkStart w:id="36" w:name="_Toc416269457"/>
      <w:r>
        <w:t>Shannon County</w:t>
      </w:r>
      <w:bookmarkEnd w:id="36"/>
    </w:p>
    <w:p w:rsidR="004B48F3" w:rsidRDefault="00457811" w:rsidP="00961C0C">
      <w:pPr>
        <w:spacing w:line="480" w:lineRule="auto"/>
        <w:ind w:firstLine="720"/>
      </w:pPr>
      <w:r>
        <w:t xml:space="preserve">Shannon County is located in the southwestern corner of South Dakota. Housed on the Pine Ridge Indian Reservation, 14,118 people are currently estimated to be living in Shannon County. Like many other counties in South Dakota, Shannon County has a large surface area. It encompasses over 2,000 square miles and has approximately 6.5 people per square mile. </w:t>
      </w:r>
    </w:p>
    <w:p w:rsidR="007A191E" w:rsidRDefault="007A191E" w:rsidP="00961C0C">
      <w:pPr>
        <w:spacing w:line="480" w:lineRule="auto"/>
        <w:ind w:firstLine="720"/>
      </w:pPr>
      <w:r>
        <w:t>Most residing in Shannon County are working in the education, health care, and social service industries. Agriculture is not as predominant in Shannon County as it is in other areas within the TREC service area. Unlike other counties that TREC serves, unemployment in Shannon County is a real issue. According to the Labor Market Information Center, unemployment rates have ranged from 12 to 16 percent over the past three years. This is very impactful to the community in terms of poverty and family stability. As long as TREC provides services in Shannon County, it is imperative to focus on this aspect for families.</w:t>
      </w:r>
    </w:p>
    <w:p w:rsidR="007A191E" w:rsidRDefault="007A191E" w:rsidP="00961C0C">
      <w:pPr>
        <w:spacing w:line="480" w:lineRule="auto"/>
        <w:ind w:firstLine="720"/>
      </w:pPr>
      <w:r>
        <w:lastRenderedPageBreak/>
        <w:t>Although the unemployment rate is rather high, there are avenues to improve situations in Shannon County. Oglala Lakota College provides both postsecondary schooling and adult education courses. This means residents can enjoy college coursework as well as take the steps needed to complete high school equivalency.</w:t>
      </w:r>
    </w:p>
    <w:p w:rsidR="007A191E" w:rsidRPr="004B48F3" w:rsidRDefault="007A191E" w:rsidP="00961C0C">
      <w:pPr>
        <w:spacing w:line="480" w:lineRule="auto"/>
        <w:ind w:firstLine="720"/>
      </w:pPr>
      <w:r>
        <w:t xml:space="preserve">Many childcare programs exist in Shannon County. Where other counties in the TREC service area find shortages in child care, Shannon County does not. Residents can choose from up to six different providers to care for children. In addition to registered and licensed child care centers and homes, Shannon County has a </w:t>
      </w:r>
      <w:r w:rsidR="00870BEE">
        <w:t xml:space="preserve">center-based </w:t>
      </w:r>
      <w:r>
        <w:t xml:space="preserve">Head Start program to help care for and develop its children. </w:t>
      </w:r>
    </w:p>
    <w:tbl>
      <w:tblPr>
        <w:tblStyle w:val="LightList-Accent1"/>
        <w:tblW w:w="9468" w:type="dxa"/>
        <w:tblLook w:val="04A0" w:firstRow="1" w:lastRow="0" w:firstColumn="1" w:lastColumn="0" w:noHBand="0" w:noVBand="1"/>
      </w:tblPr>
      <w:tblGrid>
        <w:gridCol w:w="6765"/>
        <w:gridCol w:w="1173"/>
        <w:gridCol w:w="1530"/>
      </w:tblGrid>
      <w:tr w:rsidR="004B48F3" w:rsidRPr="004B48F3" w:rsidTr="00193EA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People </w:t>
            </w:r>
            <w:proofErr w:type="spellStart"/>
            <w:r w:rsidRPr="004B48F3">
              <w:rPr>
                <w:rFonts w:ascii="Arial" w:eastAsia="Times New Roman" w:hAnsi="Arial" w:cs="Arial"/>
              </w:rPr>
              <w:t>QuickFacts</w:t>
            </w:r>
            <w:proofErr w:type="spellEnd"/>
          </w:p>
        </w:tc>
        <w:tc>
          <w:tcPr>
            <w:tcW w:w="1173" w:type="dxa"/>
            <w:noWrap/>
            <w:hideMark/>
          </w:tcPr>
          <w:p w:rsidR="004B48F3" w:rsidRPr="004B48F3" w:rsidRDefault="004B48F3" w:rsidP="004B48F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Shannon County</w:t>
            </w:r>
          </w:p>
        </w:tc>
        <w:tc>
          <w:tcPr>
            <w:tcW w:w="1530" w:type="dxa"/>
            <w:noWrap/>
            <w:hideMark/>
          </w:tcPr>
          <w:p w:rsidR="004B48F3" w:rsidRPr="004B48F3" w:rsidRDefault="004B48F3" w:rsidP="004B48F3">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South Dakota</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2014 estimate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NA</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853,175</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2013 estimate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14,118</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845,510</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2010 (April 1) estimates base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13,586</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814,191</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percent change - April 1, 2010 to July 1, 2014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NA</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4.8%</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percent change - April 1, 2010 to July 1, 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3.9%</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3.8%</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Population, 2010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13,586</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814,180</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under 5 years, percent, 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11.6%</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7.1%</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under 18 years, percent, 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38.2%</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24.6%</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65 years and over, percent, 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6.7%</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14.9%</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Female persons, percent, 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51.5%</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49.8%</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White alone, percent, 2013 (a)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5.3%</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85.9%</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Black or African American alone, percent, 2013 (a)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0.2%</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1.9%</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American Indian and Alaska Native alone, percent, 2013 (a)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92.9%</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8.9%</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Asian alone, percent, 2013 (a)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0.1%</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1.2%</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Native Hawaiian and Other Pacific Islander alone, percent, 2013 (a)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Z</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0.1%</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Two or More Races, percent, 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1.5%</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2.1%</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Hispanic or Latino, percent, 2013 (b)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3.0%</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3.4%</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White alone, not Hispanic or Latino, percent, 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4.8%</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83.3%</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Living in same house 1 year &amp; over, percent, 2009-2013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93.1%</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83.6%</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Foreign born persons, percent, 2009-2013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0.0%</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2.8%</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Language other than English spoken at home, </w:t>
            </w:r>
            <w:proofErr w:type="spellStart"/>
            <w:r w:rsidRPr="004B48F3">
              <w:rPr>
                <w:rFonts w:ascii="Arial" w:eastAsia="Times New Roman" w:hAnsi="Arial" w:cs="Arial"/>
              </w:rPr>
              <w:t>pct</w:t>
            </w:r>
            <w:proofErr w:type="spellEnd"/>
            <w:r w:rsidRPr="004B48F3">
              <w:rPr>
                <w:rFonts w:ascii="Arial" w:eastAsia="Times New Roman" w:hAnsi="Arial" w:cs="Arial"/>
              </w:rPr>
              <w:t xml:space="preserve"> age 5+, 2009-2013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24.4%</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6.8%</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High school graduate or higher, percent of persons age 25+, 2009-2013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78.8%</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90.4%</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Bachelor's degree or higher, percent of persons age 25+, 2009-2013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11.8%</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26.2%</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Veterans, 2009-2013    </w:t>
            </w:r>
          </w:p>
        </w:tc>
        <w:tc>
          <w:tcPr>
            <w:tcW w:w="1173" w:type="dxa"/>
            <w:noWrap/>
            <w:hideMark/>
          </w:tcPr>
          <w:p w:rsidR="004B48F3" w:rsidRPr="004B48F3" w:rsidRDefault="004B48F3" w:rsidP="004B48F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679</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67,886</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Mean travel time to work (minutes), workers age 16+, 2009-2013    </w:t>
            </w:r>
          </w:p>
        </w:tc>
        <w:tc>
          <w:tcPr>
            <w:tcW w:w="1173"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16.4</w:t>
            </w:r>
          </w:p>
        </w:tc>
        <w:tc>
          <w:tcPr>
            <w:tcW w:w="1530"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16.9</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Housing units, 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3,560</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370,291</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Homeownership rate, 2009-2013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52.5%</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68.0%</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Housing units in multi-unit structures, percent, 2009-2013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4.5%</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18.8%</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lastRenderedPageBreak/>
              <w:t xml:space="preserve">Median value of owner-occupied housing units, 2009-2013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$19,900</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$132,400</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Households, 2009-2013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2,867</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323,136</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per household, 2009-2013    </w:t>
            </w:r>
          </w:p>
        </w:tc>
        <w:tc>
          <w:tcPr>
            <w:tcW w:w="1173"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4.7</w:t>
            </w:r>
          </w:p>
        </w:tc>
        <w:tc>
          <w:tcPr>
            <w:tcW w:w="1530" w:type="dxa"/>
            <w:noWrap/>
            <w:hideMark/>
          </w:tcPr>
          <w:p w:rsidR="004B48F3" w:rsidRPr="004B48F3" w:rsidRDefault="004B48F3" w:rsidP="004B48F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2.45</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 capita money income in past 12 months (2013 dollars), 2009-2013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$8,768</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$25,740</w:t>
            </w:r>
          </w:p>
        </w:tc>
      </w:tr>
      <w:tr w:rsidR="004B48F3" w:rsidRPr="004B48F3" w:rsidTr="00193EA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Median household income, 2009-2013    </w:t>
            </w:r>
          </w:p>
        </w:tc>
        <w:tc>
          <w:tcPr>
            <w:tcW w:w="1173"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$25,648</w:t>
            </w:r>
          </w:p>
        </w:tc>
        <w:tc>
          <w:tcPr>
            <w:tcW w:w="1530" w:type="dxa"/>
            <w:noWrap/>
            <w:hideMark/>
          </w:tcPr>
          <w:p w:rsidR="004B48F3" w:rsidRPr="004B48F3" w:rsidRDefault="004B48F3" w:rsidP="004B48F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4B48F3">
              <w:rPr>
                <w:rFonts w:ascii="Arial" w:eastAsia="Times New Roman" w:hAnsi="Arial" w:cs="Arial"/>
              </w:rPr>
              <w:t>$49,495</w:t>
            </w:r>
          </w:p>
        </w:tc>
      </w:tr>
      <w:tr w:rsidR="004B48F3" w:rsidRPr="004B48F3" w:rsidTr="00193EA8">
        <w:trPr>
          <w:trHeight w:val="255"/>
        </w:trPr>
        <w:tc>
          <w:tcPr>
            <w:cnfStyle w:val="001000000000" w:firstRow="0" w:lastRow="0" w:firstColumn="1" w:lastColumn="0" w:oddVBand="0" w:evenVBand="0" w:oddHBand="0" w:evenHBand="0" w:firstRowFirstColumn="0" w:firstRowLastColumn="0" w:lastRowFirstColumn="0" w:lastRowLastColumn="0"/>
            <w:tcW w:w="6765" w:type="dxa"/>
            <w:noWrap/>
            <w:hideMark/>
          </w:tcPr>
          <w:p w:rsidR="004B48F3" w:rsidRPr="004B48F3" w:rsidRDefault="004B48F3" w:rsidP="004B48F3">
            <w:pPr>
              <w:rPr>
                <w:rFonts w:ascii="Arial" w:eastAsia="Times New Roman" w:hAnsi="Arial" w:cs="Arial"/>
              </w:rPr>
            </w:pPr>
            <w:r w:rsidRPr="004B48F3">
              <w:rPr>
                <w:rFonts w:ascii="Arial" w:eastAsia="Times New Roman" w:hAnsi="Arial" w:cs="Arial"/>
              </w:rPr>
              <w:t xml:space="preserve">Persons below poverty level, percent, 2009-2013    </w:t>
            </w:r>
          </w:p>
        </w:tc>
        <w:tc>
          <w:tcPr>
            <w:tcW w:w="1173"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53.2%</w:t>
            </w:r>
          </w:p>
        </w:tc>
        <w:tc>
          <w:tcPr>
            <w:tcW w:w="1530" w:type="dxa"/>
            <w:noWrap/>
            <w:hideMark/>
          </w:tcPr>
          <w:p w:rsidR="004B48F3" w:rsidRPr="004B48F3" w:rsidRDefault="004B48F3" w:rsidP="004B48F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4B48F3">
              <w:rPr>
                <w:rFonts w:ascii="Arial" w:eastAsia="Times New Roman" w:hAnsi="Arial" w:cs="Arial"/>
              </w:rPr>
              <w:t>14.1%</w:t>
            </w:r>
          </w:p>
        </w:tc>
      </w:tr>
    </w:tbl>
    <w:tbl>
      <w:tblPr>
        <w:tblStyle w:val="LightList-Accent1"/>
        <w:tblpPr w:leftFromText="180" w:rightFromText="180" w:vertAnchor="text" w:horzAnchor="margin" w:tblpY="311"/>
        <w:tblW w:w="9468" w:type="dxa"/>
        <w:tblLook w:val="04A0" w:firstRow="1" w:lastRow="0" w:firstColumn="1" w:lastColumn="0" w:noHBand="0" w:noVBand="1"/>
      </w:tblPr>
      <w:tblGrid>
        <w:gridCol w:w="6675"/>
        <w:gridCol w:w="1170"/>
        <w:gridCol w:w="1623"/>
      </w:tblGrid>
      <w:tr w:rsidR="00961C0C" w:rsidRPr="00372D10" w:rsidTr="00961C0C">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675" w:type="dxa"/>
            <w:noWrap/>
            <w:hideMark/>
          </w:tcPr>
          <w:p w:rsidR="00961C0C" w:rsidRPr="00372D10" w:rsidRDefault="00961C0C" w:rsidP="00961C0C">
            <w:pPr>
              <w:rPr>
                <w:rFonts w:ascii="Arial" w:eastAsia="Times New Roman" w:hAnsi="Arial" w:cs="Arial"/>
              </w:rPr>
            </w:pPr>
            <w:r w:rsidRPr="00372D10">
              <w:rPr>
                <w:rFonts w:ascii="Arial" w:eastAsia="Times New Roman" w:hAnsi="Arial" w:cs="Arial"/>
              </w:rPr>
              <w:t xml:space="preserve">Geography </w:t>
            </w:r>
            <w:proofErr w:type="spellStart"/>
            <w:r w:rsidRPr="00372D10">
              <w:rPr>
                <w:rFonts w:ascii="Arial" w:eastAsia="Times New Roman" w:hAnsi="Arial" w:cs="Arial"/>
              </w:rPr>
              <w:t>QuickFacts</w:t>
            </w:r>
            <w:proofErr w:type="spellEnd"/>
          </w:p>
        </w:tc>
        <w:tc>
          <w:tcPr>
            <w:tcW w:w="1170" w:type="dxa"/>
            <w:noWrap/>
            <w:hideMark/>
          </w:tcPr>
          <w:p w:rsidR="00961C0C" w:rsidRPr="00372D10" w:rsidRDefault="00961C0C" w:rsidP="00961C0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372D10">
              <w:rPr>
                <w:rFonts w:ascii="Arial" w:eastAsia="Times New Roman" w:hAnsi="Arial" w:cs="Arial"/>
              </w:rPr>
              <w:t>Shannon County</w:t>
            </w:r>
          </w:p>
        </w:tc>
        <w:tc>
          <w:tcPr>
            <w:tcW w:w="1623" w:type="dxa"/>
            <w:noWrap/>
            <w:hideMark/>
          </w:tcPr>
          <w:p w:rsidR="00961C0C" w:rsidRPr="00372D10" w:rsidRDefault="00961C0C" w:rsidP="00961C0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rPr>
            </w:pPr>
            <w:r w:rsidRPr="00372D10">
              <w:rPr>
                <w:rFonts w:ascii="Arial" w:eastAsia="Times New Roman" w:hAnsi="Arial" w:cs="Arial"/>
              </w:rPr>
              <w:t>South Dakota</w:t>
            </w:r>
          </w:p>
        </w:tc>
      </w:tr>
      <w:tr w:rsidR="00961C0C" w:rsidRPr="00372D10" w:rsidTr="00961C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675" w:type="dxa"/>
            <w:noWrap/>
            <w:hideMark/>
          </w:tcPr>
          <w:p w:rsidR="00961C0C" w:rsidRPr="00372D10" w:rsidRDefault="00961C0C" w:rsidP="00961C0C">
            <w:pPr>
              <w:rPr>
                <w:rFonts w:ascii="Arial" w:eastAsia="Times New Roman" w:hAnsi="Arial" w:cs="Arial"/>
              </w:rPr>
            </w:pPr>
            <w:r w:rsidRPr="00372D10">
              <w:rPr>
                <w:rFonts w:ascii="Arial" w:eastAsia="Times New Roman" w:hAnsi="Arial" w:cs="Arial"/>
              </w:rPr>
              <w:t xml:space="preserve">Land area in square miles, 2010    </w:t>
            </w:r>
          </w:p>
        </w:tc>
        <w:tc>
          <w:tcPr>
            <w:tcW w:w="1170" w:type="dxa"/>
            <w:noWrap/>
            <w:hideMark/>
          </w:tcPr>
          <w:p w:rsidR="00961C0C" w:rsidRPr="00372D10" w:rsidRDefault="00961C0C" w:rsidP="00961C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72D10">
              <w:rPr>
                <w:rFonts w:ascii="Arial" w:eastAsia="Times New Roman" w:hAnsi="Arial" w:cs="Arial"/>
              </w:rPr>
              <w:t>2,093.90</w:t>
            </w:r>
          </w:p>
        </w:tc>
        <w:tc>
          <w:tcPr>
            <w:tcW w:w="1623" w:type="dxa"/>
            <w:noWrap/>
            <w:hideMark/>
          </w:tcPr>
          <w:p w:rsidR="00961C0C" w:rsidRPr="00372D10" w:rsidRDefault="00961C0C" w:rsidP="00961C0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72D10">
              <w:rPr>
                <w:rFonts w:ascii="Arial" w:eastAsia="Times New Roman" w:hAnsi="Arial" w:cs="Arial"/>
              </w:rPr>
              <w:t>75,811.00</w:t>
            </w:r>
          </w:p>
        </w:tc>
      </w:tr>
      <w:tr w:rsidR="00961C0C" w:rsidRPr="00372D10" w:rsidTr="00961C0C">
        <w:trPr>
          <w:trHeight w:val="255"/>
        </w:trPr>
        <w:tc>
          <w:tcPr>
            <w:cnfStyle w:val="001000000000" w:firstRow="0" w:lastRow="0" w:firstColumn="1" w:lastColumn="0" w:oddVBand="0" w:evenVBand="0" w:oddHBand="0" w:evenHBand="0" w:firstRowFirstColumn="0" w:firstRowLastColumn="0" w:lastRowFirstColumn="0" w:lastRowLastColumn="0"/>
            <w:tcW w:w="6675" w:type="dxa"/>
            <w:noWrap/>
            <w:hideMark/>
          </w:tcPr>
          <w:p w:rsidR="00961C0C" w:rsidRPr="00372D10" w:rsidRDefault="00961C0C" w:rsidP="00961C0C">
            <w:pPr>
              <w:rPr>
                <w:rFonts w:ascii="Arial" w:eastAsia="Times New Roman" w:hAnsi="Arial" w:cs="Arial"/>
              </w:rPr>
            </w:pPr>
            <w:r w:rsidRPr="00372D10">
              <w:rPr>
                <w:rFonts w:ascii="Arial" w:eastAsia="Times New Roman" w:hAnsi="Arial" w:cs="Arial"/>
              </w:rPr>
              <w:t xml:space="preserve">Persons per square mile, 2010    </w:t>
            </w:r>
          </w:p>
        </w:tc>
        <w:tc>
          <w:tcPr>
            <w:tcW w:w="1170" w:type="dxa"/>
            <w:noWrap/>
            <w:hideMark/>
          </w:tcPr>
          <w:p w:rsidR="00961C0C" w:rsidRPr="00372D10" w:rsidRDefault="00961C0C" w:rsidP="00961C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372D10">
              <w:rPr>
                <w:rFonts w:ascii="Arial" w:eastAsia="Times New Roman" w:hAnsi="Arial" w:cs="Arial"/>
              </w:rPr>
              <w:t>6.5</w:t>
            </w:r>
          </w:p>
        </w:tc>
        <w:tc>
          <w:tcPr>
            <w:tcW w:w="1623" w:type="dxa"/>
            <w:noWrap/>
            <w:hideMark/>
          </w:tcPr>
          <w:p w:rsidR="00961C0C" w:rsidRPr="00372D10" w:rsidRDefault="00961C0C" w:rsidP="00961C0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372D10">
              <w:rPr>
                <w:rFonts w:ascii="Arial" w:eastAsia="Times New Roman" w:hAnsi="Arial" w:cs="Arial"/>
              </w:rPr>
              <w:t>10.7</w:t>
            </w:r>
          </w:p>
        </w:tc>
      </w:tr>
      <w:tr w:rsidR="00961C0C" w:rsidRPr="00372D10" w:rsidTr="00961C0C">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6675" w:type="dxa"/>
            <w:noWrap/>
            <w:hideMark/>
          </w:tcPr>
          <w:p w:rsidR="00961C0C" w:rsidRPr="00372D10" w:rsidRDefault="00961C0C" w:rsidP="00961C0C">
            <w:pPr>
              <w:rPr>
                <w:rFonts w:ascii="Arial" w:eastAsia="Times New Roman" w:hAnsi="Arial" w:cs="Arial"/>
              </w:rPr>
            </w:pPr>
            <w:r w:rsidRPr="00372D10">
              <w:rPr>
                <w:rFonts w:ascii="Arial" w:eastAsia="Times New Roman" w:hAnsi="Arial" w:cs="Arial"/>
              </w:rPr>
              <w:t xml:space="preserve">FIPS Code    </w:t>
            </w:r>
          </w:p>
        </w:tc>
        <w:tc>
          <w:tcPr>
            <w:tcW w:w="1170" w:type="dxa"/>
            <w:noWrap/>
            <w:hideMark/>
          </w:tcPr>
          <w:p w:rsidR="00961C0C" w:rsidRPr="00372D10" w:rsidRDefault="00961C0C" w:rsidP="00961C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72D10">
              <w:rPr>
                <w:rFonts w:ascii="Arial" w:eastAsia="Times New Roman" w:hAnsi="Arial" w:cs="Arial"/>
              </w:rPr>
              <w:t>113</w:t>
            </w:r>
          </w:p>
        </w:tc>
        <w:tc>
          <w:tcPr>
            <w:tcW w:w="1623" w:type="dxa"/>
            <w:noWrap/>
            <w:hideMark/>
          </w:tcPr>
          <w:p w:rsidR="00961C0C" w:rsidRPr="00372D10" w:rsidRDefault="00961C0C" w:rsidP="00961C0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372D10">
              <w:rPr>
                <w:rFonts w:ascii="Arial" w:eastAsia="Times New Roman" w:hAnsi="Arial" w:cs="Arial"/>
              </w:rPr>
              <w:t>46</w:t>
            </w:r>
          </w:p>
        </w:tc>
      </w:tr>
      <w:tr w:rsidR="00961C0C" w:rsidRPr="00372D10" w:rsidTr="00961C0C">
        <w:trPr>
          <w:trHeight w:val="255"/>
        </w:trPr>
        <w:tc>
          <w:tcPr>
            <w:cnfStyle w:val="001000000000" w:firstRow="0" w:lastRow="0" w:firstColumn="1" w:lastColumn="0" w:oddVBand="0" w:evenVBand="0" w:oddHBand="0" w:evenHBand="0" w:firstRowFirstColumn="0" w:firstRowLastColumn="0" w:lastRowFirstColumn="0" w:lastRowLastColumn="0"/>
            <w:tcW w:w="6675" w:type="dxa"/>
            <w:noWrap/>
            <w:hideMark/>
          </w:tcPr>
          <w:p w:rsidR="00961C0C" w:rsidRPr="00372D10" w:rsidRDefault="00961C0C" w:rsidP="00961C0C">
            <w:pPr>
              <w:rPr>
                <w:rFonts w:ascii="Arial" w:eastAsia="Times New Roman" w:hAnsi="Arial" w:cs="Arial"/>
              </w:rPr>
            </w:pPr>
            <w:r w:rsidRPr="00372D10">
              <w:rPr>
                <w:rFonts w:ascii="Arial" w:eastAsia="Times New Roman" w:hAnsi="Arial" w:cs="Arial"/>
              </w:rPr>
              <w:t xml:space="preserve">Metropolitan or </w:t>
            </w:r>
            <w:proofErr w:type="spellStart"/>
            <w:r w:rsidRPr="00372D10">
              <w:rPr>
                <w:rFonts w:ascii="Arial" w:eastAsia="Times New Roman" w:hAnsi="Arial" w:cs="Arial"/>
              </w:rPr>
              <w:t>Micropolitan</w:t>
            </w:r>
            <w:proofErr w:type="spellEnd"/>
            <w:r w:rsidRPr="00372D10">
              <w:rPr>
                <w:rFonts w:ascii="Arial" w:eastAsia="Times New Roman" w:hAnsi="Arial" w:cs="Arial"/>
              </w:rPr>
              <w:t xml:space="preserve"> Statistical Area    </w:t>
            </w:r>
          </w:p>
        </w:tc>
        <w:tc>
          <w:tcPr>
            <w:tcW w:w="1170" w:type="dxa"/>
            <w:noWrap/>
            <w:hideMark/>
          </w:tcPr>
          <w:p w:rsidR="00961C0C" w:rsidRPr="00372D10" w:rsidRDefault="00961C0C" w:rsidP="00961C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372D10">
              <w:rPr>
                <w:rFonts w:ascii="Arial" w:eastAsia="Times New Roman" w:hAnsi="Arial" w:cs="Arial"/>
              </w:rPr>
              <w:t>None</w:t>
            </w:r>
          </w:p>
        </w:tc>
        <w:tc>
          <w:tcPr>
            <w:tcW w:w="1623" w:type="dxa"/>
            <w:noWrap/>
            <w:hideMark/>
          </w:tcPr>
          <w:p w:rsidR="00961C0C" w:rsidRPr="00372D10" w:rsidRDefault="00961C0C" w:rsidP="00961C0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372D10">
              <w:rPr>
                <w:rFonts w:ascii="Arial" w:eastAsia="Times New Roman" w:hAnsi="Arial" w:cs="Arial"/>
              </w:rPr>
              <w:t> </w:t>
            </w:r>
          </w:p>
        </w:tc>
      </w:tr>
    </w:tbl>
    <w:p w:rsidR="00372D10" w:rsidRPr="00EA3FC8" w:rsidRDefault="00372D10" w:rsidP="00EA3FC8"/>
    <w:p w:rsidR="00D57E0D" w:rsidRDefault="00EA3FC8" w:rsidP="00792FE8">
      <w:pPr>
        <w:sectPr w:rsidR="00D57E0D" w:rsidSect="00EA3FC8">
          <w:pgSz w:w="12240" w:h="15840"/>
          <w:pgMar w:top="1440" w:right="1440" w:bottom="1440" w:left="1440" w:header="720" w:footer="720" w:gutter="0"/>
          <w:cols w:space="720"/>
          <w:docGrid w:linePitch="360"/>
        </w:sectPr>
      </w:pPr>
      <w:r>
        <w:rPr>
          <w:noProof/>
        </w:rPr>
        <w:drawing>
          <wp:inline distT="0" distB="0" distL="0" distR="0" wp14:anchorId="11DAD429" wp14:editId="47FBAE45">
            <wp:extent cx="5943600" cy="44126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412615"/>
                    </a:xfrm>
                    <a:prstGeom prst="rect">
                      <a:avLst/>
                    </a:prstGeom>
                  </pic:spPr>
                </pic:pic>
              </a:graphicData>
            </a:graphic>
          </wp:inline>
        </w:drawing>
      </w:r>
    </w:p>
    <w:p w:rsidR="00792FE8" w:rsidRDefault="00792FE8" w:rsidP="00792FE8"/>
    <w:p w:rsidR="00792FE8" w:rsidRDefault="00792FE8" w:rsidP="00792FE8">
      <w:pPr>
        <w:pStyle w:val="Heading1"/>
      </w:pPr>
      <w:bookmarkStart w:id="37" w:name="_Toc416269458"/>
      <w:r>
        <w:t>Summary of key findings (overall)</w:t>
      </w:r>
      <w:bookmarkEnd w:id="37"/>
    </w:p>
    <w:p w:rsidR="00167D5D" w:rsidRDefault="00574613" w:rsidP="00574613">
      <w:pPr>
        <w:pStyle w:val="ListParagraph"/>
        <w:numPr>
          <w:ilvl w:val="0"/>
          <w:numId w:val="18"/>
        </w:numPr>
      </w:pPr>
      <w:r>
        <w:t>TREC needs to focus on improving math and language scores for children in HS/EHS programs.</w:t>
      </w:r>
    </w:p>
    <w:p w:rsidR="00574613" w:rsidRDefault="00574613" w:rsidP="00574613">
      <w:pPr>
        <w:pStyle w:val="ListParagraph"/>
        <w:numPr>
          <w:ilvl w:val="0"/>
          <w:numId w:val="18"/>
        </w:numPr>
      </w:pPr>
      <w:r>
        <w:t>TREC communities must focus on health and wellness for children and families enrolled in the program.</w:t>
      </w:r>
    </w:p>
    <w:p w:rsidR="00574613" w:rsidRDefault="00574613" w:rsidP="00574613">
      <w:pPr>
        <w:pStyle w:val="ListParagraph"/>
        <w:numPr>
          <w:ilvl w:val="0"/>
          <w:numId w:val="18"/>
        </w:numPr>
      </w:pPr>
      <w:r>
        <w:t>TREC must focus on developing deeper and more meaningful relationships with community partners.</w:t>
      </w:r>
    </w:p>
    <w:p w:rsidR="00574613" w:rsidRDefault="004E2A21" w:rsidP="00574613">
      <w:pPr>
        <w:pStyle w:val="ListParagraph"/>
        <w:numPr>
          <w:ilvl w:val="0"/>
          <w:numId w:val="18"/>
        </w:numPr>
      </w:pPr>
      <w:r>
        <w:t xml:space="preserve">TREC should explore the opportunity that child care partnerships provide for our organization. </w:t>
      </w:r>
    </w:p>
    <w:p w:rsidR="004E2A21" w:rsidRDefault="004E2A21" w:rsidP="00574613">
      <w:pPr>
        <w:pStyle w:val="ListParagraph"/>
        <w:numPr>
          <w:ilvl w:val="0"/>
          <w:numId w:val="18"/>
        </w:numPr>
      </w:pPr>
      <w:r>
        <w:t>TREC must place increased emphasis on pre-natal mothers in order to have care provided in the first trimester of pregnancy.</w:t>
      </w:r>
    </w:p>
    <w:p w:rsidR="004E2A21" w:rsidRDefault="004E2A21" w:rsidP="00574613">
      <w:pPr>
        <w:pStyle w:val="ListParagraph"/>
        <w:numPr>
          <w:ilvl w:val="0"/>
          <w:numId w:val="18"/>
        </w:numPr>
      </w:pPr>
      <w:r>
        <w:t>Butte County continues to grow. TREC should work on recruitment in all areas, and find opportunities to expand in Butte County.</w:t>
      </w:r>
    </w:p>
    <w:p w:rsidR="004E2A21" w:rsidRDefault="004E2A21" w:rsidP="00574613">
      <w:pPr>
        <w:pStyle w:val="ListParagraph"/>
        <w:numPr>
          <w:ilvl w:val="0"/>
          <w:numId w:val="18"/>
        </w:numPr>
      </w:pPr>
      <w:r>
        <w:t>With many resources currently available for children and families, TREC should continue to act as a conduit of information when referring potential and enrolled families to programs that can be beneficial (e.g., Social Service programs).</w:t>
      </w:r>
    </w:p>
    <w:p w:rsidR="004E2A21" w:rsidRPr="00167D5D" w:rsidRDefault="004E2A21" w:rsidP="00574613">
      <w:pPr>
        <w:pStyle w:val="ListParagraph"/>
        <w:numPr>
          <w:ilvl w:val="0"/>
          <w:numId w:val="18"/>
        </w:numPr>
      </w:pPr>
      <w:r>
        <w:t>Mental health is a continued concern in many communities. TREC must help advocate for mental health services in all communities.</w:t>
      </w:r>
      <w:bookmarkStart w:id="38" w:name="_GoBack"/>
      <w:bookmarkEnd w:id="38"/>
    </w:p>
    <w:p w:rsidR="00792FE8" w:rsidRDefault="00792FE8" w:rsidP="00792FE8">
      <w:pPr>
        <w:pStyle w:val="Heading2"/>
      </w:pPr>
      <w:bookmarkStart w:id="39" w:name="_Toc416269459"/>
      <w:r>
        <w:t>Goals derived</w:t>
      </w:r>
      <w:bookmarkEnd w:id="39"/>
    </w:p>
    <w:p w:rsidR="00167D5D" w:rsidRDefault="00167D5D" w:rsidP="00167D5D"/>
    <w:p w:rsidR="00167D5D" w:rsidRDefault="00167D5D" w:rsidP="00167D5D"/>
    <w:p w:rsidR="00167D5D" w:rsidRDefault="00167D5D" w:rsidP="00167D5D"/>
    <w:p w:rsidR="00167D5D" w:rsidRDefault="00167D5D" w:rsidP="00167D5D"/>
    <w:p w:rsidR="00A650DF" w:rsidRDefault="00A650DF" w:rsidP="00167D5D">
      <w:pPr>
        <w:sectPr w:rsidR="00A650DF">
          <w:pgSz w:w="12240" w:h="15840"/>
          <w:pgMar w:top="1440" w:right="1440" w:bottom="1440" w:left="1440" w:header="720" w:footer="720" w:gutter="0"/>
          <w:cols w:space="720"/>
          <w:docGrid w:linePitch="360"/>
        </w:sectPr>
      </w:pPr>
    </w:p>
    <w:p w:rsidR="00A650DF" w:rsidRDefault="00A650DF" w:rsidP="00A650DF">
      <w:pPr>
        <w:pStyle w:val="Heading1"/>
      </w:pPr>
      <w:bookmarkStart w:id="40" w:name="_Toc416269460"/>
      <w:r>
        <w:lastRenderedPageBreak/>
        <w:t>Appendix A – Gold aggregation Data</w:t>
      </w:r>
      <w:bookmarkEnd w:id="40"/>
    </w:p>
    <w:p w:rsidR="00A650DF" w:rsidRPr="00A650DF" w:rsidRDefault="00A650DF" w:rsidP="00A650DF">
      <w:pPr>
        <w:spacing w:before="0"/>
      </w:pPr>
    </w:p>
    <w:tbl>
      <w:tblPr>
        <w:tblStyle w:val="TableGrid"/>
        <w:tblW w:w="0" w:type="auto"/>
        <w:jc w:val="center"/>
        <w:tblInd w:w="-72" w:type="dxa"/>
        <w:tblLayout w:type="fixed"/>
        <w:tblLook w:val="04A0" w:firstRow="1" w:lastRow="0" w:firstColumn="1" w:lastColumn="0" w:noHBand="0" w:noVBand="1"/>
      </w:tblPr>
      <w:tblGrid>
        <w:gridCol w:w="635"/>
        <w:gridCol w:w="445"/>
        <w:gridCol w:w="1350"/>
        <w:gridCol w:w="990"/>
        <w:gridCol w:w="990"/>
        <w:gridCol w:w="990"/>
        <w:gridCol w:w="450"/>
        <w:gridCol w:w="1080"/>
        <w:gridCol w:w="990"/>
        <w:gridCol w:w="900"/>
        <w:gridCol w:w="540"/>
        <w:gridCol w:w="90"/>
        <w:gridCol w:w="90"/>
        <w:gridCol w:w="540"/>
        <w:gridCol w:w="90"/>
        <w:gridCol w:w="90"/>
        <w:gridCol w:w="540"/>
        <w:gridCol w:w="360"/>
        <w:gridCol w:w="900"/>
      </w:tblGrid>
      <w:tr w:rsidR="00A650DF" w:rsidRPr="00C220B2" w:rsidTr="00A650DF">
        <w:trPr>
          <w:trHeight w:val="395"/>
          <w:jc w:val="center"/>
        </w:trPr>
        <w:tc>
          <w:tcPr>
            <w:tcW w:w="635" w:type="dxa"/>
            <w:shd w:val="clear" w:color="auto" w:fill="CAF278" w:themeFill="background2"/>
          </w:tcPr>
          <w:p w:rsidR="00A650DF" w:rsidRPr="00C220B2" w:rsidRDefault="00A650DF" w:rsidP="00B43C0E">
            <w:pPr>
              <w:jc w:val="center"/>
              <w:rPr>
                <w:b/>
              </w:rPr>
            </w:pPr>
            <w:r w:rsidRPr="00C220B2">
              <w:rPr>
                <w:b/>
              </w:rPr>
              <w:t>AGE</w:t>
            </w:r>
          </w:p>
        </w:tc>
        <w:tc>
          <w:tcPr>
            <w:tcW w:w="445" w:type="dxa"/>
            <w:shd w:val="clear" w:color="auto" w:fill="CAF278" w:themeFill="background2"/>
          </w:tcPr>
          <w:p w:rsidR="00A650DF" w:rsidRPr="00C220B2" w:rsidRDefault="00A650DF" w:rsidP="00B43C0E">
            <w:pPr>
              <w:jc w:val="center"/>
              <w:rPr>
                <w:b/>
              </w:rPr>
            </w:pPr>
            <w:r w:rsidRPr="00C220B2">
              <w:rPr>
                <w:b/>
              </w:rPr>
              <w:t>#</w:t>
            </w:r>
          </w:p>
        </w:tc>
        <w:tc>
          <w:tcPr>
            <w:tcW w:w="1350" w:type="dxa"/>
            <w:shd w:val="clear" w:color="auto" w:fill="CAF278" w:themeFill="background2"/>
          </w:tcPr>
          <w:p w:rsidR="00A650DF" w:rsidRPr="00C220B2" w:rsidRDefault="00A650DF" w:rsidP="00B43C0E">
            <w:pPr>
              <w:jc w:val="center"/>
              <w:rPr>
                <w:b/>
              </w:rPr>
            </w:pPr>
            <w:r w:rsidRPr="00C220B2">
              <w:rPr>
                <w:b/>
              </w:rPr>
              <w:t>AREA</w:t>
            </w:r>
          </w:p>
        </w:tc>
        <w:tc>
          <w:tcPr>
            <w:tcW w:w="990" w:type="dxa"/>
            <w:shd w:val="clear" w:color="auto" w:fill="CAF278" w:themeFill="background2"/>
          </w:tcPr>
          <w:p w:rsidR="00A650DF" w:rsidRPr="00C220B2" w:rsidRDefault="00A650DF" w:rsidP="00B43C0E">
            <w:pPr>
              <w:jc w:val="center"/>
              <w:rPr>
                <w:b/>
              </w:rPr>
            </w:pPr>
            <w:r w:rsidRPr="00C220B2">
              <w:rPr>
                <w:b/>
              </w:rPr>
              <w:t xml:space="preserve">Fall </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MEET</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EXCEED</w:t>
            </w:r>
          </w:p>
        </w:tc>
        <w:tc>
          <w:tcPr>
            <w:tcW w:w="450" w:type="dxa"/>
            <w:shd w:val="clear" w:color="auto" w:fill="CAF278" w:themeFill="background2"/>
          </w:tcPr>
          <w:p w:rsidR="00A650DF" w:rsidRPr="00C220B2" w:rsidRDefault="00A650DF" w:rsidP="00B43C0E">
            <w:pPr>
              <w:jc w:val="center"/>
              <w:rPr>
                <w:b/>
              </w:rPr>
            </w:pPr>
            <w:r>
              <w:rPr>
                <w:b/>
              </w:rPr>
              <w:t>#</w:t>
            </w:r>
          </w:p>
        </w:tc>
        <w:tc>
          <w:tcPr>
            <w:tcW w:w="108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Meet</w:t>
            </w:r>
          </w:p>
        </w:tc>
        <w:tc>
          <w:tcPr>
            <w:tcW w:w="90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Pr>
                <w:b/>
              </w:rPr>
              <w:t>Exceed</w:t>
            </w:r>
          </w:p>
        </w:tc>
        <w:tc>
          <w:tcPr>
            <w:tcW w:w="3240" w:type="dxa"/>
            <w:gridSpan w:val="9"/>
            <w:shd w:val="clear" w:color="auto" w:fill="CAF278" w:themeFill="background2"/>
          </w:tcPr>
          <w:p w:rsidR="00A650DF" w:rsidRDefault="00A650DF" w:rsidP="00B43C0E">
            <w:pPr>
              <w:jc w:val="center"/>
              <w:rPr>
                <w:b/>
              </w:rPr>
            </w:pPr>
            <w:r>
              <w:rPr>
                <w:b/>
              </w:rPr>
              <w:t>Growth by Area of Development</w:t>
            </w:r>
          </w:p>
          <w:p w:rsidR="00A650DF" w:rsidRDefault="00A650DF" w:rsidP="00B43C0E">
            <w:pPr>
              <w:jc w:val="center"/>
              <w:rPr>
                <w:b/>
              </w:rPr>
            </w:pPr>
            <w:r>
              <w:rPr>
                <w:b/>
              </w:rPr>
              <w:t>of Widely Held Expectations</w:t>
            </w:r>
          </w:p>
        </w:tc>
      </w:tr>
      <w:tr w:rsidR="00A650DF" w:rsidRPr="00C220B2" w:rsidTr="00B43C0E">
        <w:trPr>
          <w:trHeight w:val="323"/>
          <w:jc w:val="center"/>
        </w:trPr>
        <w:tc>
          <w:tcPr>
            <w:tcW w:w="635" w:type="dxa"/>
            <w:shd w:val="clear" w:color="auto" w:fill="FFE0CC" w:themeFill="accent3" w:themeFillTint="33"/>
          </w:tcPr>
          <w:p w:rsidR="00A650DF" w:rsidRPr="00C220B2" w:rsidRDefault="00A650DF" w:rsidP="00B43C0E">
            <w:pPr>
              <w:jc w:val="center"/>
            </w:pPr>
            <w:r w:rsidRPr="00C220B2">
              <w:t>1-2</w:t>
            </w:r>
          </w:p>
        </w:tc>
        <w:tc>
          <w:tcPr>
            <w:tcW w:w="445" w:type="dxa"/>
          </w:tcPr>
          <w:p w:rsidR="00A650DF" w:rsidRPr="00C220B2" w:rsidRDefault="00A650DF" w:rsidP="00B43C0E">
            <w:pPr>
              <w:jc w:val="center"/>
            </w:pPr>
            <w:r w:rsidRPr="00C220B2">
              <w:t>8</w:t>
            </w:r>
          </w:p>
        </w:tc>
        <w:tc>
          <w:tcPr>
            <w:tcW w:w="1350" w:type="dxa"/>
          </w:tcPr>
          <w:p w:rsidR="00A650DF" w:rsidRPr="00C220B2" w:rsidRDefault="00A650DF" w:rsidP="00B43C0E">
            <w:pPr>
              <w:jc w:val="center"/>
            </w:pPr>
            <w:proofErr w:type="spellStart"/>
            <w:r w:rsidRPr="00C220B2">
              <w:t>Soc-Emot</w:t>
            </w:r>
            <w:proofErr w:type="spellEnd"/>
          </w:p>
        </w:tc>
        <w:tc>
          <w:tcPr>
            <w:tcW w:w="990" w:type="dxa"/>
          </w:tcPr>
          <w:p w:rsidR="00A650DF" w:rsidRPr="00C220B2" w:rsidRDefault="00A650DF" w:rsidP="00B43C0E">
            <w:pPr>
              <w:jc w:val="center"/>
            </w:pPr>
            <w:r w:rsidRPr="00C220B2">
              <w:t>1-12.5%</w:t>
            </w:r>
          </w:p>
        </w:tc>
        <w:tc>
          <w:tcPr>
            <w:tcW w:w="990" w:type="dxa"/>
          </w:tcPr>
          <w:p w:rsidR="00A650DF" w:rsidRPr="00C220B2" w:rsidRDefault="00A650DF" w:rsidP="00B43C0E">
            <w:pPr>
              <w:jc w:val="center"/>
            </w:pPr>
            <w:r w:rsidRPr="00C220B2">
              <w:t>5-62.5</w:t>
            </w:r>
          </w:p>
        </w:tc>
        <w:tc>
          <w:tcPr>
            <w:tcW w:w="990" w:type="dxa"/>
          </w:tcPr>
          <w:p w:rsidR="00A650DF" w:rsidRPr="00C220B2" w:rsidRDefault="00A650DF" w:rsidP="00B43C0E">
            <w:pPr>
              <w:jc w:val="center"/>
            </w:pPr>
            <w:r w:rsidRPr="00C220B2">
              <w:t>2-25</w:t>
            </w:r>
            <w:r>
              <w:t>.0</w:t>
            </w:r>
            <w:r w:rsidRPr="00C220B2">
              <w:t>%</w:t>
            </w:r>
          </w:p>
        </w:tc>
        <w:tc>
          <w:tcPr>
            <w:tcW w:w="450" w:type="dxa"/>
          </w:tcPr>
          <w:p w:rsidR="00A650DF" w:rsidRPr="00C220B2" w:rsidRDefault="00A650DF" w:rsidP="00B43C0E">
            <w:pPr>
              <w:jc w:val="center"/>
            </w:pPr>
            <w:r>
              <w:t>8</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7-87.5%</w:t>
            </w:r>
          </w:p>
        </w:tc>
        <w:tc>
          <w:tcPr>
            <w:tcW w:w="900" w:type="dxa"/>
          </w:tcPr>
          <w:p w:rsidR="00A650DF" w:rsidRPr="00C220B2" w:rsidRDefault="00A650DF" w:rsidP="00B43C0E">
            <w:pPr>
              <w:jc w:val="center"/>
            </w:pPr>
            <w:r>
              <w:t>1-12.5%</w:t>
            </w:r>
          </w:p>
        </w:tc>
        <w:tc>
          <w:tcPr>
            <w:tcW w:w="540" w:type="dxa"/>
            <w:shd w:val="clear" w:color="auto" w:fill="FFE0CC" w:themeFill="accent3" w:themeFillTint="33"/>
          </w:tcPr>
          <w:p w:rsidR="00A650DF" w:rsidRPr="00933A73" w:rsidRDefault="00A650DF" w:rsidP="00B43C0E">
            <w:pPr>
              <w:jc w:val="center"/>
              <w:rPr>
                <w:sz w:val="18"/>
                <w:szCs w:val="18"/>
              </w:rPr>
            </w:pPr>
            <w:r w:rsidRPr="00933A73">
              <w:rPr>
                <w:sz w:val="18"/>
                <w:szCs w:val="18"/>
              </w:rPr>
              <w:t>6.0</w:t>
            </w:r>
          </w:p>
        </w:tc>
        <w:tc>
          <w:tcPr>
            <w:tcW w:w="720" w:type="dxa"/>
            <w:gridSpan w:val="3"/>
            <w:shd w:val="clear" w:color="auto" w:fill="FFE0CC" w:themeFill="accent3" w:themeFillTint="33"/>
          </w:tcPr>
          <w:p w:rsidR="00A650DF" w:rsidRPr="00933A73" w:rsidRDefault="00A650DF" w:rsidP="00B43C0E">
            <w:pPr>
              <w:jc w:val="center"/>
              <w:rPr>
                <w:sz w:val="18"/>
                <w:szCs w:val="18"/>
              </w:rPr>
            </w:pPr>
            <w:r w:rsidRPr="00933A73">
              <w:rPr>
                <w:sz w:val="18"/>
                <w:szCs w:val="18"/>
              </w:rPr>
              <w:t>1-11</w:t>
            </w:r>
          </w:p>
        </w:tc>
        <w:tc>
          <w:tcPr>
            <w:tcW w:w="720" w:type="dxa"/>
            <w:gridSpan w:val="3"/>
            <w:shd w:val="clear" w:color="auto" w:fill="FFE0CC" w:themeFill="accent3" w:themeFillTint="33"/>
          </w:tcPr>
          <w:p w:rsidR="00A650DF" w:rsidRPr="00933A73" w:rsidRDefault="00A650DF" w:rsidP="00B43C0E">
            <w:pPr>
              <w:jc w:val="center"/>
              <w:rPr>
                <w:sz w:val="18"/>
                <w:szCs w:val="18"/>
              </w:rPr>
            </w:pPr>
            <w:proofErr w:type="spellStart"/>
            <w:r>
              <w:rPr>
                <w:sz w:val="18"/>
                <w:szCs w:val="18"/>
              </w:rPr>
              <w:t>Mtg</w:t>
            </w:r>
            <w:proofErr w:type="spellEnd"/>
          </w:p>
        </w:tc>
        <w:tc>
          <w:tcPr>
            <w:tcW w:w="1260" w:type="dxa"/>
            <w:gridSpan w:val="2"/>
            <w:shd w:val="clear" w:color="auto" w:fill="FFE0CC" w:themeFill="accent3" w:themeFillTint="33"/>
          </w:tcPr>
          <w:p w:rsidR="00A650DF" w:rsidRDefault="00A650DF" w:rsidP="00B43C0E">
            <w:pPr>
              <w:jc w:val="center"/>
              <w:rPr>
                <w:sz w:val="18"/>
                <w:szCs w:val="18"/>
              </w:rPr>
            </w:pPr>
            <w:r>
              <w:rPr>
                <w:sz w:val="18"/>
                <w:szCs w:val="18"/>
              </w:rPr>
              <w:t>50-7</w:t>
            </w:r>
            <w:r w:rsidRPr="00933A73">
              <w:rPr>
                <w:sz w:val="18"/>
                <w:szCs w:val="18"/>
              </w:rPr>
              <w:t>4%</w:t>
            </w:r>
          </w:p>
        </w:tc>
      </w:tr>
      <w:tr w:rsidR="00A650DF" w:rsidRPr="00C220B2" w:rsidTr="00B43C0E">
        <w:trPr>
          <w:trHeight w:val="278"/>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8</w:t>
            </w:r>
          </w:p>
        </w:tc>
        <w:tc>
          <w:tcPr>
            <w:tcW w:w="1350" w:type="dxa"/>
          </w:tcPr>
          <w:p w:rsidR="00A650DF" w:rsidRPr="00C220B2" w:rsidRDefault="00A650DF" w:rsidP="00B43C0E">
            <w:pPr>
              <w:jc w:val="center"/>
            </w:pPr>
            <w:r>
              <w:t>Physical</w:t>
            </w:r>
          </w:p>
        </w:tc>
        <w:tc>
          <w:tcPr>
            <w:tcW w:w="990" w:type="dxa"/>
          </w:tcPr>
          <w:p w:rsidR="00A650DF" w:rsidRPr="00C220B2" w:rsidRDefault="00A650DF" w:rsidP="00B43C0E">
            <w:pPr>
              <w:jc w:val="center"/>
            </w:pPr>
            <w:r>
              <w:t>2-25.0%</w:t>
            </w:r>
          </w:p>
        </w:tc>
        <w:tc>
          <w:tcPr>
            <w:tcW w:w="990" w:type="dxa"/>
          </w:tcPr>
          <w:p w:rsidR="00A650DF" w:rsidRPr="00C220B2" w:rsidRDefault="00A650DF" w:rsidP="00B43C0E">
            <w:pPr>
              <w:jc w:val="center"/>
            </w:pPr>
            <w:r>
              <w:t>3-37.5%</w:t>
            </w:r>
          </w:p>
        </w:tc>
        <w:tc>
          <w:tcPr>
            <w:tcW w:w="990" w:type="dxa"/>
          </w:tcPr>
          <w:p w:rsidR="00A650DF" w:rsidRPr="00C220B2" w:rsidRDefault="00A650DF" w:rsidP="00B43C0E">
            <w:pPr>
              <w:jc w:val="center"/>
            </w:pPr>
            <w:r>
              <w:t>3-37.5%</w:t>
            </w:r>
          </w:p>
        </w:tc>
        <w:tc>
          <w:tcPr>
            <w:tcW w:w="450" w:type="dxa"/>
          </w:tcPr>
          <w:p w:rsidR="00A650DF" w:rsidRPr="00C220B2" w:rsidRDefault="00A650DF" w:rsidP="00B43C0E">
            <w:pPr>
              <w:jc w:val="center"/>
            </w:pPr>
            <w:r>
              <w:t>8</w:t>
            </w:r>
          </w:p>
        </w:tc>
        <w:tc>
          <w:tcPr>
            <w:tcW w:w="1080" w:type="dxa"/>
          </w:tcPr>
          <w:p w:rsidR="00A650DF" w:rsidRPr="00C220B2" w:rsidRDefault="00A650DF" w:rsidP="00B43C0E">
            <w:pPr>
              <w:spacing w:line="360" w:lineRule="auto"/>
              <w:jc w:val="center"/>
            </w:pPr>
            <w:r>
              <w:t>0.0.0%</w:t>
            </w:r>
          </w:p>
        </w:tc>
        <w:tc>
          <w:tcPr>
            <w:tcW w:w="990" w:type="dxa"/>
          </w:tcPr>
          <w:p w:rsidR="00A650DF" w:rsidRPr="00C220B2" w:rsidRDefault="00A650DF" w:rsidP="00B43C0E">
            <w:pPr>
              <w:jc w:val="center"/>
            </w:pPr>
            <w:r>
              <w:t>5-62.5%</w:t>
            </w:r>
          </w:p>
        </w:tc>
        <w:tc>
          <w:tcPr>
            <w:tcW w:w="900" w:type="dxa"/>
          </w:tcPr>
          <w:p w:rsidR="00A650DF" w:rsidRPr="00C220B2" w:rsidRDefault="00A650DF" w:rsidP="00B43C0E">
            <w:pPr>
              <w:jc w:val="center"/>
            </w:pPr>
            <w:r>
              <w:t>3-37.5%</w:t>
            </w:r>
          </w:p>
        </w:tc>
        <w:tc>
          <w:tcPr>
            <w:tcW w:w="540" w:type="dxa"/>
            <w:shd w:val="clear" w:color="auto" w:fill="FFE0CC" w:themeFill="accent3" w:themeFillTint="33"/>
          </w:tcPr>
          <w:p w:rsidR="00A650DF" w:rsidRPr="00C220B2" w:rsidRDefault="00A650DF" w:rsidP="00B43C0E">
            <w:pPr>
              <w:jc w:val="center"/>
            </w:pPr>
            <w:r>
              <w:t>5.6</w:t>
            </w:r>
          </w:p>
        </w:tc>
        <w:tc>
          <w:tcPr>
            <w:tcW w:w="720" w:type="dxa"/>
            <w:gridSpan w:val="3"/>
            <w:shd w:val="clear" w:color="auto" w:fill="FFE0CC" w:themeFill="accent3" w:themeFillTint="33"/>
          </w:tcPr>
          <w:p w:rsidR="00A650DF" w:rsidRPr="00C220B2" w:rsidRDefault="00A650DF" w:rsidP="00B43C0E">
            <w:pPr>
              <w:jc w:val="center"/>
            </w:pPr>
            <w:r>
              <w:t>1-7</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8</w:t>
            </w:r>
          </w:p>
        </w:tc>
        <w:tc>
          <w:tcPr>
            <w:tcW w:w="1350" w:type="dxa"/>
          </w:tcPr>
          <w:p w:rsidR="00A650DF" w:rsidRDefault="00A650DF" w:rsidP="00B43C0E">
            <w:pPr>
              <w:jc w:val="center"/>
            </w:pPr>
            <w:r>
              <w:t>Language</w:t>
            </w:r>
          </w:p>
        </w:tc>
        <w:tc>
          <w:tcPr>
            <w:tcW w:w="990" w:type="dxa"/>
          </w:tcPr>
          <w:p w:rsidR="00A650DF" w:rsidRPr="00C220B2" w:rsidRDefault="00A650DF" w:rsidP="00B43C0E">
            <w:pPr>
              <w:jc w:val="center"/>
            </w:pPr>
            <w:r>
              <w:t>2-25.0%</w:t>
            </w:r>
          </w:p>
        </w:tc>
        <w:tc>
          <w:tcPr>
            <w:tcW w:w="990" w:type="dxa"/>
          </w:tcPr>
          <w:p w:rsidR="00A650DF" w:rsidRPr="00C220B2" w:rsidRDefault="00A650DF" w:rsidP="00B43C0E">
            <w:pPr>
              <w:jc w:val="center"/>
            </w:pPr>
            <w:r>
              <w:t>6-75.0%</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8</w:t>
            </w:r>
          </w:p>
        </w:tc>
        <w:tc>
          <w:tcPr>
            <w:tcW w:w="1080" w:type="dxa"/>
          </w:tcPr>
          <w:p w:rsidR="00A650DF" w:rsidRPr="00C220B2" w:rsidRDefault="00A650DF" w:rsidP="00B43C0E">
            <w:pPr>
              <w:jc w:val="center"/>
            </w:pPr>
            <w:r>
              <w:t>1-1.25%</w:t>
            </w:r>
          </w:p>
        </w:tc>
        <w:tc>
          <w:tcPr>
            <w:tcW w:w="990" w:type="dxa"/>
          </w:tcPr>
          <w:p w:rsidR="00A650DF" w:rsidRPr="00C220B2" w:rsidRDefault="00A650DF" w:rsidP="00B43C0E">
            <w:pPr>
              <w:jc w:val="center"/>
            </w:pPr>
            <w:r>
              <w:t>6-75.0%</w:t>
            </w:r>
          </w:p>
        </w:tc>
        <w:tc>
          <w:tcPr>
            <w:tcW w:w="900" w:type="dxa"/>
          </w:tcPr>
          <w:p w:rsidR="00A650DF" w:rsidRPr="00C220B2" w:rsidRDefault="00A650DF" w:rsidP="00B43C0E">
            <w:pPr>
              <w:jc w:val="center"/>
            </w:pPr>
            <w:r>
              <w:t>1-12.5%</w:t>
            </w:r>
          </w:p>
        </w:tc>
        <w:tc>
          <w:tcPr>
            <w:tcW w:w="540" w:type="dxa"/>
            <w:shd w:val="clear" w:color="auto" w:fill="FFE0CC" w:themeFill="accent3" w:themeFillTint="33"/>
          </w:tcPr>
          <w:p w:rsidR="00A650DF" w:rsidRPr="00C220B2" w:rsidRDefault="00A650DF" w:rsidP="00B43C0E">
            <w:pPr>
              <w:jc w:val="center"/>
            </w:pPr>
            <w:r>
              <w:t>5.3</w:t>
            </w:r>
          </w:p>
        </w:tc>
        <w:tc>
          <w:tcPr>
            <w:tcW w:w="720" w:type="dxa"/>
            <w:gridSpan w:val="3"/>
            <w:shd w:val="clear" w:color="auto" w:fill="FFE0CC" w:themeFill="accent3" w:themeFillTint="33"/>
          </w:tcPr>
          <w:p w:rsidR="00A650DF" w:rsidRPr="00C220B2" w:rsidRDefault="00A650DF" w:rsidP="00B43C0E">
            <w:pPr>
              <w:jc w:val="center"/>
            </w:pPr>
            <w:r>
              <w:t>1-10</w:t>
            </w:r>
          </w:p>
        </w:tc>
        <w:tc>
          <w:tcPr>
            <w:tcW w:w="720" w:type="dxa"/>
            <w:gridSpan w:val="3"/>
            <w:shd w:val="clear" w:color="auto" w:fill="FFE0CC" w:themeFill="accent3" w:themeFillTint="33"/>
          </w:tcPr>
          <w:p w:rsidR="00A650DF" w:rsidRDefault="00A650DF" w:rsidP="00B43C0E">
            <w:pPr>
              <w:jc w:val="center"/>
            </w:pPr>
            <w:proofErr w:type="spellStart"/>
            <w:r w:rsidRPr="003D7E62">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8</w:t>
            </w:r>
          </w:p>
        </w:tc>
        <w:tc>
          <w:tcPr>
            <w:tcW w:w="1350" w:type="dxa"/>
          </w:tcPr>
          <w:p w:rsidR="00A650DF" w:rsidRDefault="00A650DF" w:rsidP="00B43C0E">
            <w:pPr>
              <w:jc w:val="center"/>
            </w:pPr>
            <w:r>
              <w:t xml:space="preserve">Cognitive </w:t>
            </w:r>
          </w:p>
        </w:tc>
        <w:tc>
          <w:tcPr>
            <w:tcW w:w="990" w:type="dxa"/>
          </w:tcPr>
          <w:p w:rsidR="00A650DF" w:rsidRPr="00C220B2" w:rsidRDefault="00A650DF" w:rsidP="00B43C0E">
            <w:pPr>
              <w:jc w:val="center"/>
            </w:pPr>
            <w:r>
              <w:t>1-12.5%</w:t>
            </w:r>
          </w:p>
        </w:tc>
        <w:tc>
          <w:tcPr>
            <w:tcW w:w="990" w:type="dxa"/>
          </w:tcPr>
          <w:p w:rsidR="00A650DF" w:rsidRPr="00C220B2" w:rsidRDefault="00A650DF" w:rsidP="00B43C0E">
            <w:pPr>
              <w:jc w:val="center"/>
            </w:pPr>
            <w:r>
              <w:t>4-50.0%</w:t>
            </w:r>
          </w:p>
        </w:tc>
        <w:tc>
          <w:tcPr>
            <w:tcW w:w="990" w:type="dxa"/>
          </w:tcPr>
          <w:p w:rsidR="00A650DF" w:rsidRPr="00C220B2" w:rsidRDefault="00A650DF" w:rsidP="00B43C0E">
            <w:pPr>
              <w:jc w:val="center"/>
            </w:pPr>
            <w:r>
              <w:t>3-37.5%</w:t>
            </w:r>
          </w:p>
        </w:tc>
        <w:tc>
          <w:tcPr>
            <w:tcW w:w="450" w:type="dxa"/>
          </w:tcPr>
          <w:p w:rsidR="00A650DF" w:rsidRPr="00C220B2" w:rsidRDefault="00A650DF" w:rsidP="00B43C0E">
            <w:pPr>
              <w:jc w:val="center"/>
            </w:pPr>
            <w:r>
              <w:t>8</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6-75.0%</w:t>
            </w:r>
          </w:p>
        </w:tc>
        <w:tc>
          <w:tcPr>
            <w:tcW w:w="900" w:type="dxa"/>
          </w:tcPr>
          <w:p w:rsidR="00A650DF" w:rsidRPr="00C220B2" w:rsidRDefault="00A650DF" w:rsidP="00B43C0E">
            <w:pPr>
              <w:jc w:val="center"/>
            </w:pPr>
            <w:r>
              <w:t>2-25%</w:t>
            </w:r>
          </w:p>
        </w:tc>
        <w:tc>
          <w:tcPr>
            <w:tcW w:w="540" w:type="dxa"/>
            <w:shd w:val="clear" w:color="auto" w:fill="FFE0CC" w:themeFill="accent3" w:themeFillTint="33"/>
          </w:tcPr>
          <w:p w:rsidR="00A650DF" w:rsidRPr="00C220B2" w:rsidRDefault="00A650DF" w:rsidP="00B43C0E">
            <w:pPr>
              <w:jc w:val="center"/>
            </w:pPr>
            <w:r>
              <w:t>6.6</w:t>
            </w:r>
          </w:p>
        </w:tc>
        <w:tc>
          <w:tcPr>
            <w:tcW w:w="720" w:type="dxa"/>
            <w:gridSpan w:val="3"/>
            <w:shd w:val="clear" w:color="auto" w:fill="FFE0CC" w:themeFill="accent3" w:themeFillTint="33"/>
          </w:tcPr>
          <w:p w:rsidR="00A650DF" w:rsidRPr="00C220B2" w:rsidRDefault="00A650DF" w:rsidP="00B43C0E">
            <w:pPr>
              <w:jc w:val="center"/>
            </w:pPr>
            <w:r>
              <w:t>1-11</w:t>
            </w:r>
          </w:p>
        </w:tc>
        <w:tc>
          <w:tcPr>
            <w:tcW w:w="720" w:type="dxa"/>
            <w:gridSpan w:val="3"/>
            <w:shd w:val="clear" w:color="auto" w:fill="FFE0CC" w:themeFill="accent3" w:themeFillTint="33"/>
          </w:tcPr>
          <w:p w:rsidR="00A650DF" w:rsidRDefault="00A650DF" w:rsidP="00B43C0E">
            <w:pPr>
              <w:jc w:val="center"/>
            </w:pPr>
            <w:proofErr w:type="spellStart"/>
            <w:r w:rsidRPr="003D7E62">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8</w:t>
            </w:r>
          </w:p>
        </w:tc>
        <w:tc>
          <w:tcPr>
            <w:tcW w:w="1350" w:type="dxa"/>
          </w:tcPr>
          <w:p w:rsidR="00A650DF" w:rsidRDefault="00A650DF" w:rsidP="00B43C0E">
            <w:pPr>
              <w:jc w:val="center"/>
            </w:pPr>
            <w:r>
              <w:t>Literacy</w:t>
            </w:r>
          </w:p>
        </w:tc>
        <w:tc>
          <w:tcPr>
            <w:tcW w:w="990" w:type="dxa"/>
          </w:tcPr>
          <w:p w:rsidR="00A650DF" w:rsidRPr="00C220B2" w:rsidRDefault="00A650DF" w:rsidP="00B43C0E">
            <w:pPr>
              <w:jc w:val="center"/>
            </w:pPr>
            <w:r>
              <w:t>3-37.5%</w:t>
            </w:r>
          </w:p>
        </w:tc>
        <w:tc>
          <w:tcPr>
            <w:tcW w:w="990" w:type="dxa"/>
          </w:tcPr>
          <w:p w:rsidR="00A650DF" w:rsidRPr="00C220B2" w:rsidRDefault="00A650DF" w:rsidP="00B43C0E">
            <w:pPr>
              <w:jc w:val="center"/>
            </w:pPr>
            <w:r>
              <w:t>3-37.5%</w:t>
            </w:r>
          </w:p>
        </w:tc>
        <w:tc>
          <w:tcPr>
            <w:tcW w:w="990" w:type="dxa"/>
          </w:tcPr>
          <w:p w:rsidR="00A650DF" w:rsidRPr="00C220B2" w:rsidRDefault="00A650DF" w:rsidP="00B43C0E">
            <w:pPr>
              <w:jc w:val="center"/>
            </w:pPr>
            <w:r>
              <w:t>2-25.0%</w:t>
            </w:r>
          </w:p>
        </w:tc>
        <w:tc>
          <w:tcPr>
            <w:tcW w:w="450" w:type="dxa"/>
          </w:tcPr>
          <w:p w:rsidR="00A650DF" w:rsidRPr="00C220B2" w:rsidRDefault="00A650DF" w:rsidP="00B43C0E">
            <w:pPr>
              <w:jc w:val="center"/>
            </w:pPr>
            <w:r>
              <w:t>8</w:t>
            </w:r>
          </w:p>
        </w:tc>
        <w:tc>
          <w:tcPr>
            <w:tcW w:w="1080" w:type="dxa"/>
          </w:tcPr>
          <w:p w:rsidR="00A650DF" w:rsidRPr="00C220B2" w:rsidRDefault="00A650DF" w:rsidP="00B43C0E">
            <w:pPr>
              <w:jc w:val="center"/>
            </w:pPr>
            <w:r>
              <w:t>2-25.0%</w:t>
            </w:r>
          </w:p>
        </w:tc>
        <w:tc>
          <w:tcPr>
            <w:tcW w:w="990" w:type="dxa"/>
          </w:tcPr>
          <w:p w:rsidR="00A650DF" w:rsidRPr="00C220B2" w:rsidRDefault="00A650DF" w:rsidP="00B43C0E">
            <w:pPr>
              <w:jc w:val="center"/>
            </w:pPr>
            <w:r>
              <w:t>4-50.0%</w:t>
            </w:r>
          </w:p>
        </w:tc>
        <w:tc>
          <w:tcPr>
            <w:tcW w:w="900" w:type="dxa"/>
          </w:tcPr>
          <w:p w:rsidR="00A650DF" w:rsidRPr="00C220B2" w:rsidRDefault="00A650DF" w:rsidP="00B43C0E">
            <w:pPr>
              <w:jc w:val="center"/>
            </w:pPr>
            <w:r>
              <w:t>2-25%</w:t>
            </w:r>
          </w:p>
        </w:tc>
        <w:tc>
          <w:tcPr>
            <w:tcW w:w="540" w:type="dxa"/>
            <w:shd w:val="clear" w:color="auto" w:fill="FFE0CC" w:themeFill="accent3" w:themeFillTint="33"/>
          </w:tcPr>
          <w:p w:rsidR="00A650DF" w:rsidRPr="00C220B2" w:rsidRDefault="00A650DF" w:rsidP="00B43C0E">
            <w:pPr>
              <w:jc w:val="center"/>
            </w:pPr>
            <w:r>
              <w:t>4.1</w:t>
            </w:r>
          </w:p>
        </w:tc>
        <w:tc>
          <w:tcPr>
            <w:tcW w:w="720" w:type="dxa"/>
            <w:gridSpan w:val="3"/>
            <w:shd w:val="clear" w:color="auto" w:fill="FFE0CC" w:themeFill="accent3" w:themeFillTint="33"/>
          </w:tcPr>
          <w:p w:rsidR="00A650DF" w:rsidRPr="00C220B2" w:rsidRDefault="00A650DF" w:rsidP="00B43C0E">
            <w:pPr>
              <w:jc w:val="center"/>
            </w:pPr>
            <w:r>
              <w:t>1-8</w:t>
            </w:r>
          </w:p>
        </w:tc>
        <w:tc>
          <w:tcPr>
            <w:tcW w:w="720" w:type="dxa"/>
            <w:gridSpan w:val="3"/>
            <w:shd w:val="clear" w:color="auto" w:fill="FFE0CC" w:themeFill="accent3" w:themeFillTint="33"/>
          </w:tcPr>
          <w:p w:rsidR="00A650DF" w:rsidRDefault="00A650DF" w:rsidP="00B43C0E">
            <w:pPr>
              <w:jc w:val="center"/>
            </w:pPr>
            <w:proofErr w:type="spellStart"/>
            <w:r w:rsidRPr="003D7E62">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Default="00A650DF" w:rsidP="00B43C0E">
            <w:pPr>
              <w:jc w:val="center"/>
            </w:pPr>
            <w:r>
              <w:t>8</w:t>
            </w:r>
          </w:p>
        </w:tc>
        <w:tc>
          <w:tcPr>
            <w:tcW w:w="1350" w:type="dxa"/>
          </w:tcPr>
          <w:p w:rsidR="00A650DF" w:rsidRDefault="00A650DF" w:rsidP="00B43C0E">
            <w:pPr>
              <w:jc w:val="center"/>
            </w:pPr>
            <w:r>
              <w:t>Mathematics</w:t>
            </w:r>
          </w:p>
        </w:tc>
        <w:tc>
          <w:tcPr>
            <w:tcW w:w="990" w:type="dxa"/>
          </w:tcPr>
          <w:p w:rsidR="00A650DF" w:rsidRDefault="00A650DF" w:rsidP="00B43C0E">
            <w:pPr>
              <w:jc w:val="center"/>
            </w:pPr>
            <w:r>
              <w:t>3-37.5%</w:t>
            </w:r>
          </w:p>
        </w:tc>
        <w:tc>
          <w:tcPr>
            <w:tcW w:w="990" w:type="dxa"/>
          </w:tcPr>
          <w:p w:rsidR="00A650DF" w:rsidRDefault="00A650DF" w:rsidP="00B43C0E">
            <w:pPr>
              <w:jc w:val="center"/>
            </w:pPr>
            <w:r>
              <w:t>5-62.5%</w:t>
            </w:r>
          </w:p>
        </w:tc>
        <w:tc>
          <w:tcPr>
            <w:tcW w:w="990" w:type="dxa"/>
          </w:tcPr>
          <w:p w:rsidR="00A650DF" w:rsidRDefault="00A650DF" w:rsidP="00B43C0E">
            <w:pPr>
              <w:jc w:val="center"/>
            </w:pPr>
            <w:r>
              <w:t>0-0.0%</w:t>
            </w:r>
          </w:p>
        </w:tc>
        <w:tc>
          <w:tcPr>
            <w:tcW w:w="450" w:type="dxa"/>
          </w:tcPr>
          <w:p w:rsidR="00A650DF" w:rsidRPr="00C220B2" w:rsidRDefault="00A650DF" w:rsidP="00B43C0E">
            <w:pPr>
              <w:jc w:val="center"/>
            </w:pPr>
            <w:r>
              <w:t>8</w:t>
            </w:r>
          </w:p>
        </w:tc>
        <w:tc>
          <w:tcPr>
            <w:tcW w:w="1080" w:type="dxa"/>
          </w:tcPr>
          <w:p w:rsidR="00A650DF" w:rsidRPr="00C220B2" w:rsidRDefault="00A650DF" w:rsidP="00B43C0E">
            <w:pPr>
              <w:jc w:val="center"/>
            </w:pPr>
            <w:r>
              <w:t>4-50.0%</w:t>
            </w:r>
          </w:p>
        </w:tc>
        <w:tc>
          <w:tcPr>
            <w:tcW w:w="990" w:type="dxa"/>
          </w:tcPr>
          <w:p w:rsidR="00A650DF" w:rsidRPr="00C220B2" w:rsidRDefault="00A650DF" w:rsidP="00B43C0E">
            <w:pPr>
              <w:jc w:val="center"/>
            </w:pPr>
            <w:r>
              <w:t>3-37.5%</w:t>
            </w:r>
          </w:p>
        </w:tc>
        <w:tc>
          <w:tcPr>
            <w:tcW w:w="900" w:type="dxa"/>
          </w:tcPr>
          <w:p w:rsidR="00A650DF" w:rsidRPr="00C220B2" w:rsidRDefault="00A650DF" w:rsidP="00B43C0E">
            <w:pPr>
              <w:jc w:val="center"/>
            </w:pPr>
            <w:r>
              <w:t>1-12.5%</w:t>
            </w:r>
          </w:p>
        </w:tc>
        <w:tc>
          <w:tcPr>
            <w:tcW w:w="540" w:type="dxa"/>
            <w:shd w:val="clear" w:color="auto" w:fill="FFE0CC" w:themeFill="accent3" w:themeFillTint="33"/>
          </w:tcPr>
          <w:p w:rsidR="00A650DF" w:rsidRPr="00C220B2" w:rsidRDefault="00A650DF" w:rsidP="00B43C0E">
            <w:pPr>
              <w:jc w:val="center"/>
            </w:pPr>
            <w:r>
              <w:t>5.3</w:t>
            </w:r>
          </w:p>
        </w:tc>
        <w:tc>
          <w:tcPr>
            <w:tcW w:w="720" w:type="dxa"/>
            <w:gridSpan w:val="3"/>
            <w:shd w:val="clear" w:color="auto" w:fill="FFE0CC" w:themeFill="accent3" w:themeFillTint="33"/>
          </w:tcPr>
          <w:p w:rsidR="00A650DF" w:rsidRPr="00C220B2" w:rsidRDefault="00A650DF" w:rsidP="00B43C0E">
            <w:pPr>
              <w:jc w:val="center"/>
            </w:pPr>
            <w:r>
              <w:t>1-6</w:t>
            </w:r>
          </w:p>
        </w:tc>
        <w:tc>
          <w:tcPr>
            <w:tcW w:w="720" w:type="dxa"/>
            <w:gridSpan w:val="3"/>
            <w:shd w:val="clear" w:color="auto" w:fill="FFE0CC" w:themeFill="accent3" w:themeFillTint="33"/>
          </w:tcPr>
          <w:p w:rsidR="00A650DF" w:rsidRDefault="00A650DF" w:rsidP="00B43C0E">
            <w:pPr>
              <w:jc w:val="center"/>
            </w:pPr>
            <w:proofErr w:type="spellStart"/>
            <w:r w:rsidRPr="003D7E62">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A650DF">
        <w:trPr>
          <w:trHeight w:val="440"/>
          <w:jc w:val="center"/>
        </w:trPr>
        <w:tc>
          <w:tcPr>
            <w:tcW w:w="635" w:type="dxa"/>
            <w:shd w:val="clear" w:color="auto" w:fill="CAF278" w:themeFill="background2"/>
          </w:tcPr>
          <w:p w:rsidR="00A650DF" w:rsidRPr="00C220B2" w:rsidRDefault="00A650DF" w:rsidP="00B43C0E">
            <w:pPr>
              <w:jc w:val="center"/>
              <w:rPr>
                <w:b/>
              </w:rPr>
            </w:pPr>
            <w:r w:rsidRPr="00C220B2">
              <w:rPr>
                <w:b/>
              </w:rPr>
              <w:t>AGE</w:t>
            </w:r>
          </w:p>
        </w:tc>
        <w:tc>
          <w:tcPr>
            <w:tcW w:w="445" w:type="dxa"/>
            <w:shd w:val="clear" w:color="auto" w:fill="CAF278" w:themeFill="background2"/>
          </w:tcPr>
          <w:p w:rsidR="00A650DF" w:rsidRPr="00C220B2" w:rsidRDefault="00A650DF" w:rsidP="00B43C0E">
            <w:pPr>
              <w:jc w:val="center"/>
              <w:rPr>
                <w:b/>
              </w:rPr>
            </w:pPr>
            <w:r w:rsidRPr="00C220B2">
              <w:rPr>
                <w:b/>
              </w:rPr>
              <w:t>#</w:t>
            </w:r>
          </w:p>
        </w:tc>
        <w:tc>
          <w:tcPr>
            <w:tcW w:w="1350" w:type="dxa"/>
            <w:shd w:val="clear" w:color="auto" w:fill="CAF278" w:themeFill="background2"/>
          </w:tcPr>
          <w:p w:rsidR="00A650DF" w:rsidRPr="00C220B2" w:rsidRDefault="00A650DF" w:rsidP="00B43C0E">
            <w:pPr>
              <w:jc w:val="center"/>
              <w:rPr>
                <w:b/>
              </w:rPr>
            </w:pPr>
            <w:r w:rsidRPr="00C220B2">
              <w:rPr>
                <w:b/>
              </w:rPr>
              <w:t>AREA</w:t>
            </w:r>
          </w:p>
        </w:tc>
        <w:tc>
          <w:tcPr>
            <w:tcW w:w="990" w:type="dxa"/>
            <w:shd w:val="clear" w:color="auto" w:fill="CAF278" w:themeFill="background2"/>
          </w:tcPr>
          <w:p w:rsidR="00A650DF" w:rsidRPr="00C220B2" w:rsidRDefault="00A650DF" w:rsidP="00B43C0E">
            <w:pPr>
              <w:jc w:val="center"/>
              <w:rPr>
                <w:b/>
              </w:rPr>
            </w:pPr>
            <w:r w:rsidRPr="00C220B2">
              <w:rPr>
                <w:b/>
              </w:rPr>
              <w:t xml:space="preserve">Fall </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MEET</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EXCEED</w:t>
            </w:r>
          </w:p>
        </w:tc>
        <w:tc>
          <w:tcPr>
            <w:tcW w:w="450" w:type="dxa"/>
            <w:shd w:val="clear" w:color="auto" w:fill="CAF278" w:themeFill="background2"/>
          </w:tcPr>
          <w:p w:rsidR="00A650DF" w:rsidRPr="00C220B2" w:rsidRDefault="00A650DF" w:rsidP="00B43C0E">
            <w:pPr>
              <w:jc w:val="center"/>
              <w:rPr>
                <w:b/>
              </w:rPr>
            </w:pPr>
            <w:r>
              <w:rPr>
                <w:b/>
              </w:rPr>
              <w:t>#</w:t>
            </w:r>
          </w:p>
        </w:tc>
        <w:tc>
          <w:tcPr>
            <w:tcW w:w="108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Meet</w:t>
            </w:r>
          </w:p>
        </w:tc>
        <w:tc>
          <w:tcPr>
            <w:tcW w:w="90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Pr>
                <w:b/>
              </w:rPr>
              <w:t>Exceed</w:t>
            </w:r>
          </w:p>
        </w:tc>
        <w:tc>
          <w:tcPr>
            <w:tcW w:w="3240" w:type="dxa"/>
            <w:gridSpan w:val="9"/>
            <w:shd w:val="clear" w:color="auto" w:fill="FFE0CC" w:themeFill="accent3" w:themeFillTint="33"/>
          </w:tcPr>
          <w:p w:rsidR="00A650DF" w:rsidRDefault="00A650DF" w:rsidP="00B43C0E">
            <w:pPr>
              <w:jc w:val="center"/>
              <w:rPr>
                <w:b/>
              </w:rPr>
            </w:pPr>
            <w:r>
              <w:rPr>
                <w:b/>
              </w:rPr>
              <w:t>Growth by Area of Development</w:t>
            </w:r>
          </w:p>
          <w:p w:rsidR="00A650DF" w:rsidRPr="00C220B2" w:rsidRDefault="00A650DF" w:rsidP="00B43C0E">
            <w:pPr>
              <w:jc w:val="center"/>
              <w:rPr>
                <w:b/>
              </w:rPr>
            </w:pPr>
            <w:r>
              <w:rPr>
                <w:b/>
              </w:rPr>
              <w:t>of Widely Held Expectations</w:t>
            </w:r>
          </w:p>
        </w:tc>
      </w:tr>
      <w:tr w:rsidR="00A650DF" w:rsidRPr="00C220B2" w:rsidTr="00B43C0E">
        <w:trPr>
          <w:jc w:val="center"/>
        </w:trPr>
        <w:tc>
          <w:tcPr>
            <w:tcW w:w="635" w:type="dxa"/>
            <w:shd w:val="clear" w:color="auto" w:fill="FFE0CC" w:themeFill="accent3" w:themeFillTint="33"/>
          </w:tcPr>
          <w:p w:rsidR="00A650DF" w:rsidRPr="00C220B2" w:rsidRDefault="00A650DF" w:rsidP="00B43C0E">
            <w:pPr>
              <w:jc w:val="center"/>
            </w:pPr>
            <w:r>
              <w:t>2-3</w:t>
            </w:r>
          </w:p>
        </w:tc>
        <w:tc>
          <w:tcPr>
            <w:tcW w:w="445" w:type="dxa"/>
          </w:tcPr>
          <w:p w:rsidR="00A650DF" w:rsidRPr="00C220B2" w:rsidRDefault="00A650DF" w:rsidP="00B43C0E">
            <w:pPr>
              <w:jc w:val="center"/>
            </w:pPr>
            <w:r>
              <w:t>16</w:t>
            </w:r>
          </w:p>
        </w:tc>
        <w:tc>
          <w:tcPr>
            <w:tcW w:w="1350" w:type="dxa"/>
          </w:tcPr>
          <w:p w:rsidR="00A650DF" w:rsidRPr="00C220B2" w:rsidRDefault="00A650DF" w:rsidP="00B43C0E">
            <w:pPr>
              <w:jc w:val="center"/>
            </w:pPr>
            <w:proofErr w:type="spellStart"/>
            <w:r w:rsidRPr="00C220B2">
              <w:t>Soc-Emot</w:t>
            </w:r>
            <w:proofErr w:type="spellEnd"/>
          </w:p>
        </w:tc>
        <w:tc>
          <w:tcPr>
            <w:tcW w:w="990" w:type="dxa"/>
          </w:tcPr>
          <w:p w:rsidR="00A650DF" w:rsidRPr="00C220B2" w:rsidRDefault="00A650DF" w:rsidP="00B43C0E">
            <w:pPr>
              <w:jc w:val="center"/>
            </w:pPr>
            <w:r>
              <w:t>3-18.8%</w:t>
            </w:r>
          </w:p>
        </w:tc>
        <w:tc>
          <w:tcPr>
            <w:tcW w:w="990" w:type="dxa"/>
          </w:tcPr>
          <w:p w:rsidR="00A650DF" w:rsidRPr="00C220B2" w:rsidRDefault="00A650DF" w:rsidP="00B43C0E">
            <w:pPr>
              <w:jc w:val="center"/>
            </w:pPr>
            <w:r>
              <w:t>6-37.5%</w:t>
            </w:r>
          </w:p>
        </w:tc>
        <w:tc>
          <w:tcPr>
            <w:tcW w:w="990" w:type="dxa"/>
          </w:tcPr>
          <w:p w:rsidR="00A650DF" w:rsidRPr="00C220B2" w:rsidRDefault="00A650DF" w:rsidP="00B43C0E">
            <w:pPr>
              <w:jc w:val="center"/>
            </w:pPr>
            <w:r>
              <w:t>7-43.8%</w:t>
            </w:r>
          </w:p>
        </w:tc>
        <w:tc>
          <w:tcPr>
            <w:tcW w:w="450" w:type="dxa"/>
          </w:tcPr>
          <w:p w:rsidR="00A650DF" w:rsidRPr="00C220B2" w:rsidRDefault="00A650DF" w:rsidP="00B43C0E">
            <w:pPr>
              <w:jc w:val="center"/>
            </w:pPr>
            <w:r>
              <w:t>16</w:t>
            </w:r>
          </w:p>
        </w:tc>
        <w:tc>
          <w:tcPr>
            <w:tcW w:w="1080" w:type="dxa"/>
          </w:tcPr>
          <w:p w:rsidR="00A650DF" w:rsidRPr="00C220B2" w:rsidRDefault="00A650DF" w:rsidP="00B43C0E">
            <w:pPr>
              <w:jc w:val="center"/>
            </w:pPr>
            <w:r>
              <w:t>3-18.8%</w:t>
            </w:r>
          </w:p>
        </w:tc>
        <w:tc>
          <w:tcPr>
            <w:tcW w:w="990" w:type="dxa"/>
          </w:tcPr>
          <w:p w:rsidR="00A650DF" w:rsidRPr="00C220B2" w:rsidRDefault="00A650DF" w:rsidP="00B43C0E">
            <w:pPr>
              <w:jc w:val="center"/>
            </w:pPr>
            <w:r>
              <w:t>11.68%</w:t>
            </w:r>
          </w:p>
        </w:tc>
        <w:tc>
          <w:tcPr>
            <w:tcW w:w="900" w:type="dxa"/>
          </w:tcPr>
          <w:p w:rsidR="00A650DF" w:rsidRPr="00C220B2" w:rsidRDefault="00A650DF" w:rsidP="00B43C0E">
            <w:pPr>
              <w:jc w:val="center"/>
            </w:pPr>
            <w:r>
              <w:t>2-12.5%</w:t>
            </w:r>
          </w:p>
        </w:tc>
        <w:tc>
          <w:tcPr>
            <w:tcW w:w="540" w:type="dxa"/>
            <w:shd w:val="clear" w:color="auto" w:fill="FFE0CC" w:themeFill="accent3" w:themeFillTint="33"/>
          </w:tcPr>
          <w:p w:rsidR="00A650DF" w:rsidRPr="00C220B2" w:rsidRDefault="00A650DF" w:rsidP="00B43C0E">
            <w:pPr>
              <w:jc w:val="center"/>
            </w:pPr>
            <w:r>
              <w:t>1.7</w:t>
            </w:r>
          </w:p>
        </w:tc>
        <w:tc>
          <w:tcPr>
            <w:tcW w:w="900" w:type="dxa"/>
            <w:gridSpan w:val="5"/>
            <w:shd w:val="clear" w:color="auto" w:fill="FFE0CC" w:themeFill="accent3" w:themeFillTint="33"/>
          </w:tcPr>
          <w:p w:rsidR="00A650DF" w:rsidRPr="00C220B2" w:rsidRDefault="00A650DF" w:rsidP="00B43C0E">
            <w:pPr>
              <w:jc w:val="center"/>
            </w:pPr>
            <w:r>
              <w:t>1-12</w:t>
            </w:r>
          </w:p>
        </w:tc>
        <w:tc>
          <w:tcPr>
            <w:tcW w:w="90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900" w:type="dxa"/>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16</w:t>
            </w:r>
          </w:p>
        </w:tc>
        <w:tc>
          <w:tcPr>
            <w:tcW w:w="1350" w:type="dxa"/>
          </w:tcPr>
          <w:p w:rsidR="00A650DF" w:rsidRPr="00C220B2" w:rsidRDefault="00A650DF" w:rsidP="00B43C0E">
            <w:pPr>
              <w:jc w:val="center"/>
            </w:pPr>
            <w:r>
              <w:t>Physical</w:t>
            </w:r>
          </w:p>
        </w:tc>
        <w:tc>
          <w:tcPr>
            <w:tcW w:w="990" w:type="dxa"/>
          </w:tcPr>
          <w:p w:rsidR="00A650DF" w:rsidRPr="00C220B2" w:rsidRDefault="00A650DF" w:rsidP="00B43C0E">
            <w:pPr>
              <w:jc w:val="center"/>
            </w:pPr>
            <w:r>
              <w:t>3-18.8%</w:t>
            </w:r>
          </w:p>
        </w:tc>
        <w:tc>
          <w:tcPr>
            <w:tcW w:w="990" w:type="dxa"/>
          </w:tcPr>
          <w:p w:rsidR="00A650DF" w:rsidRPr="00C220B2" w:rsidRDefault="00A650DF" w:rsidP="00B43C0E">
            <w:pPr>
              <w:jc w:val="center"/>
            </w:pPr>
            <w:r>
              <w:t>6-37.5%</w:t>
            </w:r>
          </w:p>
        </w:tc>
        <w:tc>
          <w:tcPr>
            <w:tcW w:w="990" w:type="dxa"/>
          </w:tcPr>
          <w:p w:rsidR="00A650DF" w:rsidRPr="00C220B2" w:rsidRDefault="00A650DF" w:rsidP="00B43C0E">
            <w:pPr>
              <w:jc w:val="center"/>
            </w:pPr>
            <w:r>
              <w:t>7-43.8%</w:t>
            </w:r>
          </w:p>
        </w:tc>
        <w:tc>
          <w:tcPr>
            <w:tcW w:w="450" w:type="dxa"/>
          </w:tcPr>
          <w:p w:rsidR="00A650DF" w:rsidRPr="00C220B2" w:rsidRDefault="00A650DF" w:rsidP="00B43C0E">
            <w:pPr>
              <w:jc w:val="center"/>
            </w:pPr>
            <w:r>
              <w:t>16</w:t>
            </w:r>
          </w:p>
        </w:tc>
        <w:tc>
          <w:tcPr>
            <w:tcW w:w="1080" w:type="dxa"/>
          </w:tcPr>
          <w:p w:rsidR="00A650DF" w:rsidRPr="00C220B2" w:rsidRDefault="00A650DF" w:rsidP="00B43C0E">
            <w:pPr>
              <w:jc w:val="center"/>
            </w:pPr>
            <w:r>
              <w:t>5-31.3%</w:t>
            </w:r>
          </w:p>
        </w:tc>
        <w:tc>
          <w:tcPr>
            <w:tcW w:w="990" w:type="dxa"/>
          </w:tcPr>
          <w:p w:rsidR="00A650DF" w:rsidRPr="00C220B2" w:rsidRDefault="00A650DF" w:rsidP="00B43C0E">
            <w:pPr>
              <w:jc w:val="center"/>
            </w:pPr>
            <w:r>
              <w:t>9-56.3%</w:t>
            </w:r>
          </w:p>
        </w:tc>
        <w:tc>
          <w:tcPr>
            <w:tcW w:w="900" w:type="dxa"/>
          </w:tcPr>
          <w:p w:rsidR="00A650DF" w:rsidRPr="00C220B2" w:rsidRDefault="00A650DF" w:rsidP="00B43C0E">
            <w:pPr>
              <w:jc w:val="center"/>
            </w:pPr>
            <w:r>
              <w:t>2.12.5%</w:t>
            </w:r>
          </w:p>
        </w:tc>
        <w:tc>
          <w:tcPr>
            <w:tcW w:w="540" w:type="dxa"/>
            <w:shd w:val="clear" w:color="auto" w:fill="FFFF00"/>
          </w:tcPr>
          <w:p w:rsidR="00A650DF" w:rsidRPr="00C220B2" w:rsidRDefault="00A650DF" w:rsidP="00B43C0E">
            <w:pPr>
              <w:jc w:val="center"/>
            </w:pPr>
            <w:r>
              <w:t>0.4</w:t>
            </w:r>
          </w:p>
        </w:tc>
        <w:tc>
          <w:tcPr>
            <w:tcW w:w="900" w:type="dxa"/>
            <w:gridSpan w:val="5"/>
            <w:shd w:val="clear" w:color="auto" w:fill="FFFF00"/>
          </w:tcPr>
          <w:p w:rsidR="00A650DF" w:rsidRPr="00C220B2" w:rsidRDefault="00A650DF" w:rsidP="00B43C0E">
            <w:pPr>
              <w:jc w:val="center"/>
            </w:pPr>
            <w:r>
              <w:t>1-6</w:t>
            </w:r>
          </w:p>
        </w:tc>
        <w:tc>
          <w:tcPr>
            <w:tcW w:w="900" w:type="dxa"/>
            <w:gridSpan w:val="2"/>
            <w:shd w:val="clear" w:color="auto" w:fill="FFFF00"/>
          </w:tcPr>
          <w:p w:rsidR="00A650DF" w:rsidRPr="00C220B2" w:rsidRDefault="00A650DF" w:rsidP="00B43C0E">
            <w:pPr>
              <w:jc w:val="center"/>
            </w:pPr>
            <w:r>
              <w:t xml:space="preserve">Not </w:t>
            </w:r>
            <w:proofErr w:type="spellStart"/>
            <w:r>
              <w:t>Mtg</w:t>
            </w:r>
            <w:proofErr w:type="spellEnd"/>
          </w:p>
        </w:tc>
        <w:tc>
          <w:tcPr>
            <w:tcW w:w="900" w:type="dxa"/>
            <w:shd w:val="clear" w:color="auto" w:fill="FFFF00"/>
          </w:tcPr>
          <w:p w:rsidR="00A650DF" w:rsidRPr="00C220B2" w:rsidRDefault="00A650DF" w:rsidP="00B43C0E">
            <w:pPr>
              <w:jc w:val="center"/>
            </w:pPr>
            <w:r>
              <w:t>0-24%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15</w:t>
            </w:r>
          </w:p>
        </w:tc>
        <w:tc>
          <w:tcPr>
            <w:tcW w:w="1350" w:type="dxa"/>
          </w:tcPr>
          <w:p w:rsidR="00A650DF" w:rsidRDefault="00A650DF" w:rsidP="00B43C0E">
            <w:pPr>
              <w:jc w:val="center"/>
            </w:pPr>
            <w:r>
              <w:t>Language</w:t>
            </w:r>
          </w:p>
        </w:tc>
        <w:tc>
          <w:tcPr>
            <w:tcW w:w="990" w:type="dxa"/>
          </w:tcPr>
          <w:p w:rsidR="00A650DF" w:rsidRPr="00C220B2" w:rsidRDefault="00A650DF" w:rsidP="00B43C0E">
            <w:pPr>
              <w:jc w:val="center"/>
            </w:pPr>
            <w:r>
              <w:t>7-46.7%</w:t>
            </w:r>
          </w:p>
        </w:tc>
        <w:tc>
          <w:tcPr>
            <w:tcW w:w="990" w:type="dxa"/>
          </w:tcPr>
          <w:p w:rsidR="00A650DF" w:rsidRPr="00C220B2" w:rsidRDefault="00A650DF" w:rsidP="00B43C0E">
            <w:pPr>
              <w:jc w:val="center"/>
            </w:pPr>
            <w:r>
              <w:t>2-13.3%</w:t>
            </w:r>
          </w:p>
        </w:tc>
        <w:tc>
          <w:tcPr>
            <w:tcW w:w="990" w:type="dxa"/>
          </w:tcPr>
          <w:p w:rsidR="00A650DF" w:rsidRPr="00C220B2" w:rsidRDefault="00A650DF" w:rsidP="00B43C0E">
            <w:pPr>
              <w:jc w:val="center"/>
            </w:pPr>
            <w:r>
              <w:t>6-40.0%</w:t>
            </w:r>
          </w:p>
        </w:tc>
        <w:tc>
          <w:tcPr>
            <w:tcW w:w="450" w:type="dxa"/>
          </w:tcPr>
          <w:p w:rsidR="00A650DF" w:rsidRPr="00C220B2" w:rsidRDefault="00A650DF" w:rsidP="00B43C0E">
            <w:pPr>
              <w:jc w:val="center"/>
            </w:pPr>
            <w:r>
              <w:t>15</w:t>
            </w:r>
          </w:p>
        </w:tc>
        <w:tc>
          <w:tcPr>
            <w:tcW w:w="1080" w:type="dxa"/>
          </w:tcPr>
          <w:p w:rsidR="00A650DF" w:rsidRPr="00C220B2" w:rsidRDefault="00A650DF" w:rsidP="00B43C0E">
            <w:pPr>
              <w:jc w:val="center"/>
            </w:pPr>
            <w:r>
              <w:t>4-26.7%</w:t>
            </w:r>
          </w:p>
        </w:tc>
        <w:tc>
          <w:tcPr>
            <w:tcW w:w="990" w:type="dxa"/>
          </w:tcPr>
          <w:p w:rsidR="00A650DF" w:rsidRPr="00C220B2" w:rsidRDefault="00A650DF" w:rsidP="00B43C0E">
            <w:pPr>
              <w:jc w:val="center"/>
            </w:pPr>
            <w:r>
              <w:t>9-60.0%</w:t>
            </w:r>
          </w:p>
        </w:tc>
        <w:tc>
          <w:tcPr>
            <w:tcW w:w="900" w:type="dxa"/>
          </w:tcPr>
          <w:p w:rsidR="00A650DF" w:rsidRPr="00C220B2" w:rsidRDefault="00A650DF" w:rsidP="00B43C0E">
            <w:pPr>
              <w:jc w:val="center"/>
            </w:pPr>
            <w:r>
              <w:t>2-13.3%</w:t>
            </w:r>
          </w:p>
        </w:tc>
        <w:tc>
          <w:tcPr>
            <w:tcW w:w="540" w:type="dxa"/>
            <w:shd w:val="clear" w:color="auto" w:fill="FFE0CC" w:themeFill="accent3" w:themeFillTint="33"/>
          </w:tcPr>
          <w:p w:rsidR="00A650DF" w:rsidRPr="00C220B2" w:rsidRDefault="00A650DF" w:rsidP="00B43C0E">
            <w:pPr>
              <w:jc w:val="center"/>
            </w:pPr>
            <w:r>
              <w:t>1.7</w:t>
            </w:r>
          </w:p>
        </w:tc>
        <w:tc>
          <w:tcPr>
            <w:tcW w:w="900" w:type="dxa"/>
            <w:gridSpan w:val="5"/>
            <w:shd w:val="clear" w:color="auto" w:fill="FFE0CC" w:themeFill="accent3" w:themeFillTint="33"/>
          </w:tcPr>
          <w:p w:rsidR="00A650DF" w:rsidRPr="00C220B2" w:rsidRDefault="00A650DF" w:rsidP="00B43C0E">
            <w:pPr>
              <w:jc w:val="center"/>
            </w:pPr>
            <w:r>
              <w:t>1-10</w:t>
            </w:r>
          </w:p>
        </w:tc>
        <w:tc>
          <w:tcPr>
            <w:tcW w:w="90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900" w:type="dxa"/>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16</w:t>
            </w:r>
          </w:p>
        </w:tc>
        <w:tc>
          <w:tcPr>
            <w:tcW w:w="1350" w:type="dxa"/>
          </w:tcPr>
          <w:p w:rsidR="00A650DF" w:rsidRDefault="00A650DF" w:rsidP="00B43C0E">
            <w:pPr>
              <w:jc w:val="center"/>
            </w:pPr>
            <w:r>
              <w:t xml:space="preserve">Cognitive </w:t>
            </w:r>
          </w:p>
        </w:tc>
        <w:tc>
          <w:tcPr>
            <w:tcW w:w="990" w:type="dxa"/>
          </w:tcPr>
          <w:p w:rsidR="00A650DF" w:rsidRPr="00C220B2" w:rsidRDefault="00A650DF" w:rsidP="00B43C0E">
            <w:pPr>
              <w:jc w:val="center"/>
            </w:pPr>
            <w:r>
              <w:t>3-18.8%</w:t>
            </w:r>
          </w:p>
        </w:tc>
        <w:tc>
          <w:tcPr>
            <w:tcW w:w="990" w:type="dxa"/>
          </w:tcPr>
          <w:p w:rsidR="00A650DF" w:rsidRPr="00C220B2" w:rsidRDefault="00A650DF" w:rsidP="00B43C0E">
            <w:pPr>
              <w:jc w:val="center"/>
            </w:pPr>
            <w:r>
              <w:t>6-37.5%</w:t>
            </w:r>
          </w:p>
        </w:tc>
        <w:tc>
          <w:tcPr>
            <w:tcW w:w="990" w:type="dxa"/>
          </w:tcPr>
          <w:p w:rsidR="00A650DF" w:rsidRPr="00C220B2" w:rsidRDefault="00A650DF" w:rsidP="00B43C0E">
            <w:pPr>
              <w:jc w:val="center"/>
            </w:pPr>
            <w:r>
              <w:t>7-43.8%</w:t>
            </w:r>
          </w:p>
        </w:tc>
        <w:tc>
          <w:tcPr>
            <w:tcW w:w="450" w:type="dxa"/>
          </w:tcPr>
          <w:p w:rsidR="00A650DF" w:rsidRPr="00C220B2" w:rsidRDefault="00A650DF" w:rsidP="00B43C0E">
            <w:pPr>
              <w:jc w:val="center"/>
            </w:pPr>
            <w:r>
              <w:t>16</w:t>
            </w:r>
          </w:p>
        </w:tc>
        <w:tc>
          <w:tcPr>
            <w:tcW w:w="1080" w:type="dxa"/>
          </w:tcPr>
          <w:p w:rsidR="00A650DF" w:rsidRPr="00C220B2" w:rsidRDefault="00A650DF" w:rsidP="00B43C0E">
            <w:pPr>
              <w:jc w:val="center"/>
            </w:pPr>
            <w:r>
              <w:t>3-18.8%</w:t>
            </w:r>
          </w:p>
        </w:tc>
        <w:tc>
          <w:tcPr>
            <w:tcW w:w="990" w:type="dxa"/>
          </w:tcPr>
          <w:p w:rsidR="00A650DF" w:rsidRPr="00C220B2" w:rsidRDefault="00A650DF" w:rsidP="00B43C0E">
            <w:pPr>
              <w:jc w:val="center"/>
            </w:pPr>
            <w:r>
              <w:t>11-68.8%</w:t>
            </w:r>
          </w:p>
        </w:tc>
        <w:tc>
          <w:tcPr>
            <w:tcW w:w="900" w:type="dxa"/>
          </w:tcPr>
          <w:p w:rsidR="00A650DF" w:rsidRPr="00C220B2" w:rsidRDefault="00A650DF" w:rsidP="00B43C0E">
            <w:pPr>
              <w:jc w:val="center"/>
            </w:pPr>
            <w:r>
              <w:t>2-12.5%</w:t>
            </w:r>
          </w:p>
        </w:tc>
        <w:tc>
          <w:tcPr>
            <w:tcW w:w="540" w:type="dxa"/>
            <w:shd w:val="clear" w:color="auto" w:fill="FFE0CC" w:themeFill="accent3" w:themeFillTint="33"/>
          </w:tcPr>
          <w:p w:rsidR="00A650DF" w:rsidRPr="00C220B2" w:rsidRDefault="00A650DF" w:rsidP="00B43C0E">
            <w:pPr>
              <w:jc w:val="center"/>
            </w:pPr>
            <w:r>
              <w:t>2.7</w:t>
            </w:r>
          </w:p>
        </w:tc>
        <w:tc>
          <w:tcPr>
            <w:tcW w:w="900" w:type="dxa"/>
            <w:gridSpan w:val="5"/>
            <w:shd w:val="clear" w:color="auto" w:fill="FFE0CC" w:themeFill="accent3" w:themeFillTint="33"/>
          </w:tcPr>
          <w:p w:rsidR="00A650DF" w:rsidRPr="00C220B2" w:rsidRDefault="00A650DF" w:rsidP="00B43C0E">
            <w:pPr>
              <w:jc w:val="center"/>
            </w:pPr>
            <w:r>
              <w:t>1-12</w:t>
            </w:r>
          </w:p>
        </w:tc>
        <w:tc>
          <w:tcPr>
            <w:tcW w:w="90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900" w:type="dxa"/>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14</w:t>
            </w:r>
          </w:p>
        </w:tc>
        <w:tc>
          <w:tcPr>
            <w:tcW w:w="1350" w:type="dxa"/>
          </w:tcPr>
          <w:p w:rsidR="00A650DF" w:rsidRDefault="00A650DF" w:rsidP="00B43C0E">
            <w:pPr>
              <w:jc w:val="center"/>
            </w:pPr>
            <w:r>
              <w:t>Literacy</w:t>
            </w:r>
          </w:p>
        </w:tc>
        <w:tc>
          <w:tcPr>
            <w:tcW w:w="990" w:type="dxa"/>
          </w:tcPr>
          <w:p w:rsidR="00A650DF" w:rsidRPr="00C220B2" w:rsidRDefault="00A650DF" w:rsidP="00B43C0E">
            <w:pPr>
              <w:jc w:val="center"/>
            </w:pPr>
            <w:r>
              <w:t>4-28.6%</w:t>
            </w:r>
          </w:p>
        </w:tc>
        <w:tc>
          <w:tcPr>
            <w:tcW w:w="990" w:type="dxa"/>
          </w:tcPr>
          <w:p w:rsidR="00A650DF" w:rsidRPr="00C220B2" w:rsidRDefault="00A650DF" w:rsidP="00B43C0E">
            <w:pPr>
              <w:jc w:val="center"/>
            </w:pPr>
            <w:r>
              <w:t>4-28.6%</w:t>
            </w:r>
          </w:p>
        </w:tc>
        <w:tc>
          <w:tcPr>
            <w:tcW w:w="990" w:type="dxa"/>
          </w:tcPr>
          <w:p w:rsidR="00A650DF" w:rsidRPr="00C220B2" w:rsidRDefault="00A650DF" w:rsidP="00B43C0E">
            <w:pPr>
              <w:jc w:val="center"/>
            </w:pPr>
            <w:r>
              <w:t>6-42.9%</w:t>
            </w:r>
          </w:p>
        </w:tc>
        <w:tc>
          <w:tcPr>
            <w:tcW w:w="450" w:type="dxa"/>
          </w:tcPr>
          <w:p w:rsidR="00A650DF" w:rsidRPr="00C220B2" w:rsidRDefault="00A650DF" w:rsidP="00B43C0E">
            <w:pPr>
              <w:jc w:val="center"/>
            </w:pPr>
            <w:r>
              <w:t>14</w:t>
            </w:r>
          </w:p>
        </w:tc>
        <w:tc>
          <w:tcPr>
            <w:tcW w:w="1080" w:type="dxa"/>
          </w:tcPr>
          <w:p w:rsidR="00A650DF" w:rsidRPr="00C220B2" w:rsidRDefault="00A650DF" w:rsidP="00B43C0E">
            <w:pPr>
              <w:jc w:val="center"/>
            </w:pPr>
            <w:r>
              <w:t>3-21.4%</w:t>
            </w:r>
          </w:p>
        </w:tc>
        <w:tc>
          <w:tcPr>
            <w:tcW w:w="990" w:type="dxa"/>
          </w:tcPr>
          <w:p w:rsidR="00A650DF" w:rsidRPr="00C220B2" w:rsidRDefault="00A650DF" w:rsidP="00B43C0E">
            <w:pPr>
              <w:jc w:val="center"/>
            </w:pPr>
            <w:r>
              <w:t>11-78.6%</w:t>
            </w:r>
          </w:p>
        </w:tc>
        <w:tc>
          <w:tcPr>
            <w:tcW w:w="900" w:type="dxa"/>
          </w:tcPr>
          <w:p w:rsidR="00A650DF" w:rsidRPr="00C220B2" w:rsidRDefault="00A650DF" w:rsidP="00B43C0E">
            <w:pPr>
              <w:jc w:val="center"/>
            </w:pPr>
            <w:r>
              <w:t>0-0.0%</w:t>
            </w:r>
          </w:p>
        </w:tc>
        <w:tc>
          <w:tcPr>
            <w:tcW w:w="540" w:type="dxa"/>
            <w:shd w:val="clear" w:color="auto" w:fill="FFE0CC" w:themeFill="accent3" w:themeFillTint="33"/>
          </w:tcPr>
          <w:p w:rsidR="00A650DF" w:rsidRPr="00C220B2" w:rsidRDefault="00A650DF" w:rsidP="00B43C0E">
            <w:pPr>
              <w:jc w:val="center"/>
            </w:pPr>
            <w:r>
              <w:t>2.7</w:t>
            </w:r>
          </w:p>
        </w:tc>
        <w:tc>
          <w:tcPr>
            <w:tcW w:w="900" w:type="dxa"/>
            <w:gridSpan w:val="5"/>
            <w:shd w:val="clear" w:color="auto" w:fill="FFE0CC" w:themeFill="accent3" w:themeFillTint="33"/>
          </w:tcPr>
          <w:p w:rsidR="00A650DF" w:rsidRPr="00C220B2" w:rsidRDefault="00A650DF" w:rsidP="00B43C0E">
            <w:pPr>
              <w:jc w:val="center"/>
            </w:pPr>
            <w:r>
              <w:t>1-11</w:t>
            </w:r>
          </w:p>
        </w:tc>
        <w:tc>
          <w:tcPr>
            <w:tcW w:w="90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900" w:type="dxa"/>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Default="00A650DF" w:rsidP="00B43C0E">
            <w:pPr>
              <w:jc w:val="center"/>
            </w:pPr>
            <w:r>
              <w:t>14</w:t>
            </w:r>
          </w:p>
        </w:tc>
        <w:tc>
          <w:tcPr>
            <w:tcW w:w="1350" w:type="dxa"/>
          </w:tcPr>
          <w:p w:rsidR="00A650DF" w:rsidRDefault="00A650DF" w:rsidP="00B43C0E">
            <w:pPr>
              <w:jc w:val="center"/>
            </w:pPr>
            <w:r>
              <w:t>Mathematics</w:t>
            </w:r>
          </w:p>
        </w:tc>
        <w:tc>
          <w:tcPr>
            <w:tcW w:w="990" w:type="dxa"/>
          </w:tcPr>
          <w:p w:rsidR="00A650DF" w:rsidRDefault="00A650DF" w:rsidP="00B43C0E">
            <w:pPr>
              <w:jc w:val="center"/>
            </w:pPr>
            <w:r>
              <w:t>4-28.6%</w:t>
            </w:r>
          </w:p>
        </w:tc>
        <w:tc>
          <w:tcPr>
            <w:tcW w:w="990" w:type="dxa"/>
          </w:tcPr>
          <w:p w:rsidR="00A650DF" w:rsidRDefault="00A650DF" w:rsidP="00B43C0E">
            <w:pPr>
              <w:jc w:val="center"/>
            </w:pPr>
            <w:r>
              <w:t>5-37.5%</w:t>
            </w:r>
          </w:p>
        </w:tc>
        <w:tc>
          <w:tcPr>
            <w:tcW w:w="990" w:type="dxa"/>
          </w:tcPr>
          <w:p w:rsidR="00A650DF" w:rsidRDefault="00A650DF" w:rsidP="00B43C0E">
            <w:pPr>
              <w:jc w:val="center"/>
            </w:pPr>
            <w:r>
              <w:t>5-35.7%</w:t>
            </w:r>
          </w:p>
        </w:tc>
        <w:tc>
          <w:tcPr>
            <w:tcW w:w="450" w:type="dxa"/>
          </w:tcPr>
          <w:p w:rsidR="00A650DF" w:rsidRPr="00C220B2" w:rsidRDefault="00A650DF" w:rsidP="00B43C0E">
            <w:pPr>
              <w:jc w:val="center"/>
            </w:pPr>
            <w:r>
              <w:t>14</w:t>
            </w:r>
          </w:p>
        </w:tc>
        <w:tc>
          <w:tcPr>
            <w:tcW w:w="1080" w:type="dxa"/>
          </w:tcPr>
          <w:p w:rsidR="00A650DF" w:rsidRPr="00C220B2" w:rsidRDefault="00A650DF" w:rsidP="00B43C0E">
            <w:pPr>
              <w:jc w:val="center"/>
            </w:pPr>
            <w:r>
              <w:t>2-14.3%</w:t>
            </w:r>
          </w:p>
        </w:tc>
        <w:tc>
          <w:tcPr>
            <w:tcW w:w="990" w:type="dxa"/>
          </w:tcPr>
          <w:p w:rsidR="00A650DF" w:rsidRPr="00C220B2" w:rsidRDefault="00A650DF" w:rsidP="00B43C0E">
            <w:pPr>
              <w:jc w:val="center"/>
            </w:pPr>
            <w:r>
              <w:t>12-85.7%</w:t>
            </w:r>
          </w:p>
        </w:tc>
        <w:tc>
          <w:tcPr>
            <w:tcW w:w="900" w:type="dxa"/>
          </w:tcPr>
          <w:p w:rsidR="00A650DF" w:rsidRPr="00C220B2" w:rsidRDefault="00A650DF" w:rsidP="00B43C0E">
            <w:pPr>
              <w:jc w:val="center"/>
            </w:pPr>
            <w:r>
              <w:t>0-0.0%</w:t>
            </w:r>
          </w:p>
        </w:tc>
        <w:tc>
          <w:tcPr>
            <w:tcW w:w="540" w:type="dxa"/>
            <w:shd w:val="clear" w:color="auto" w:fill="FFE0CC" w:themeFill="accent3" w:themeFillTint="33"/>
          </w:tcPr>
          <w:p w:rsidR="00A650DF" w:rsidRPr="00C220B2" w:rsidRDefault="00A650DF" w:rsidP="00B43C0E">
            <w:pPr>
              <w:jc w:val="center"/>
            </w:pPr>
            <w:r>
              <w:t>2.7</w:t>
            </w:r>
          </w:p>
        </w:tc>
        <w:tc>
          <w:tcPr>
            <w:tcW w:w="900" w:type="dxa"/>
            <w:gridSpan w:val="5"/>
            <w:shd w:val="clear" w:color="auto" w:fill="FFE0CC" w:themeFill="accent3" w:themeFillTint="33"/>
          </w:tcPr>
          <w:p w:rsidR="00A650DF" w:rsidRPr="00C220B2" w:rsidRDefault="00A650DF" w:rsidP="00B43C0E">
            <w:pPr>
              <w:jc w:val="center"/>
            </w:pPr>
            <w:r>
              <w:t>1-8</w:t>
            </w:r>
          </w:p>
        </w:tc>
        <w:tc>
          <w:tcPr>
            <w:tcW w:w="90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900" w:type="dxa"/>
            <w:shd w:val="clear" w:color="auto" w:fill="FFE0CC" w:themeFill="accent3" w:themeFillTint="33"/>
          </w:tcPr>
          <w:p w:rsidR="00A650DF" w:rsidRPr="00C220B2" w:rsidRDefault="00A650DF" w:rsidP="00B43C0E">
            <w:pPr>
              <w:jc w:val="center"/>
            </w:pPr>
            <w:r>
              <w:t>25-49%</w:t>
            </w:r>
          </w:p>
        </w:tc>
      </w:tr>
      <w:tr w:rsidR="00A650DF" w:rsidRPr="00C220B2" w:rsidTr="00A650DF">
        <w:trPr>
          <w:trHeight w:val="395"/>
          <w:jc w:val="center"/>
        </w:trPr>
        <w:tc>
          <w:tcPr>
            <w:tcW w:w="635" w:type="dxa"/>
            <w:shd w:val="clear" w:color="auto" w:fill="CAF278" w:themeFill="background2"/>
          </w:tcPr>
          <w:p w:rsidR="00A650DF" w:rsidRPr="00C220B2" w:rsidRDefault="00A650DF" w:rsidP="00B43C0E">
            <w:pPr>
              <w:jc w:val="center"/>
              <w:rPr>
                <w:b/>
              </w:rPr>
            </w:pPr>
            <w:r w:rsidRPr="00C220B2">
              <w:rPr>
                <w:b/>
              </w:rPr>
              <w:t>AGE</w:t>
            </w:r>
          </w:p>
        </w:tc>
        <w:tc>
          <w:tcPr>
            <w:tcW w:w="445" w:type="dxa"/>
            <w:shd w:val="clear" w:color="auto" w:fill="CAF278" w:themeFill="background2"/>
          </w:tcPr>
          <w:p w:rsidR="00A650DF" w:rsidRPr="00C220B2" w:rsidRDefault="00A650DF" w:rsidP="00B43C0E">
            <w:pPr>
              <w:jc w:val="center"/>
              <w:rPr>
                <w:b/>
              </w:rPr>
            </w:pPr>
            <w:r w:rsidRPr="00C220B2">
              <w:rPr>
                <w:b/>
              </w:rPr>
              <w:t>#</w:t>
            </w:r>
          </w:p>
        </w:tc>
        <w:tc>
          <w:tcPr>
            <w:tcW w:w="1350" w:type="dxa"/>
            <w:shd w:val="clear" w:color="auto" w:fill="CAF278" w:themeFill="background2"/>
          </w:tcPr>
          <w:p w:rsidR="00A650DF" w:rsidRPr="00C220B2" w:rsidRDefault="00A650DF" w:rsidP="00B43C0E">
            <w:pPr>
              <w:jc w:val="center"/>
              <w:rPr>
                <w:b/>
              </w:rPr>
            </w:pPr>
            <w:r w:rsidRPr="00C220B2">
              <w:rPr>
                <w:b/>
              </w:rPr>
              <w:t>AREA</w:t>
            </w:r>
          </w:p>
        </w:tc>
        <w:tc>
          <w:tcPr>
            <w:tcW w:w="990" w:type="dxa"/>
            <w:shd w:val="clear" w:color="auto" w:fill="CAF278" w:themeFill="background2"/>
          </w:tcPr>
          <w:p w:rsidR="00A650DF" w:rsidRPr="00C220B2" w:rsidRDefault="00A650DF" w:rsidP="00B43C0E">
            <w:pPr>
              <w:jc w:val="center"/>
              <w:rPr>
                <w:b/>
              </w:rPr>
            </w:pPr>
            <w:r w:rsidRPr="00C220B2">
              <w:rPr>
                <w:b/>
              </w:rPr>
              <w:t xml:space="preserve">Fall </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MEET</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EXCEED</w:t>
            </w:r>
          </w:p>
        </w:tc>
        <w:tc>
          <w:tcPr>
            <w:tcW w:w="450" w:type="dxa"/>
            <w:shd w:val="clear" w:color="auto" w:fill="CAF278" w:themeFill="background2"/>
          </w:tcPr>
          <w:p w:rsidR="00A650DF" w:rsidRPr="00C220B2" w:rsidRDefault="00A650DF" w:rsidP="00B43C0E">
            <w:pPr>
              <w:jc w:val="center"/>
              <w:rPr>
                <w:b/>
              </w:rPr>
            </w:pPr>
            <w:r>
              <w:rPr>
                <w:b/>
              </w:rPr>
              <w:t>#</w:t>
            </w:r>
          </w:p>
        </w:tc>
        <w:tc>
          <w:tcPr>
            <w:tcW w:w="108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Meet</w:t>
            </w:r>
          </w:p>
        </w:tc>
        <w:tc>
          <w:tcPr>
            <w:tcW w:w="90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Pr>
                <w:b/>
              </w:rPr>
              <w:t>Exceed</w:t>
            </w:r>
          </w:p>
        </w:tc>
        <w:tc>
          <w:tcPr>
            <w:tcW w:w="3240" w:type="dxa"/>
            <w:gridSpan w:val="9"/>
            <w:shd w:val="clear" w:color="auto" w:fill="FFE0CC" w:themeFill="accent3" w:themeFillTint="33"/>
          </w:tcPr>
          <w:p w:rsidR="00A650DF" w:rsidRDefault="00A650DF" w:rsidP="00B43C0E">
            <w:pPr>
              <w:jc w:val="center"/>
              <w:rPr>
                <w:b/>
              </w:rPr>
            </w:pPr>
            <w:r>
              <w:rPr>
                <w:b/>
              </w:rPr>
              <w:t>Growth by Area of Development</w:t>
            </w:r>
          </w:p>
          <w:p w:rsidR="00A650DF" w:rsidRPr="00C220B2" w:rsidRDefault="00A650DF" w:rsidP="00B43C0E">
            <w:pPr>
              <w:jc w:val="center"/>
              <w:rPr>
                <w:b/>
              </w:rPr>
            </w:pPr>
            <w:r>
              <w:rPr>
                <w:b/>
              </w:rPr>
              <w:t>of Widely Held Expectations</w:t>
            </w:r>
          </w:p>
        </w:tc>
      </w:tr>
      <w:tr w:rsidR="00A650DF" w:rsidRPr="00C220B2" w:rsidTr="00B43C0E">
        <w:trPr>
          <w:jc w:val="center"/>
        </w:trPr>
        <w:tc>
          <w:tcPr>
            <w:tcW w:w="635" w:type="dxa"/>
            <w:shd w:val="clear" w:color="auto" w:fill="FFE0CC" w:themeFill="accent3" w:themeFillTint="33"/>
          </w:tcPr>
          <w:p w:rsidR="00A650DF" w:rsidRPr="00C220B2" w:rsidRDefault="00A650DF" w:rsidP="00B43C0E">
            <w:pPr>
              <w:jc w:val="center"/>
            </w:pPr>
            <w:r>
              <w:t>3</w:t>
            </w:r>
          </w:p>
        </w:tc>
        <w:tc>
          <w:tcPr>
            <w:tcW w:w="445" w:type="dxa"/>
          </w:tcPr>
          <w:p w:rsidR="00A650DF" w:rsidRPr="00C220B2" w:rsidRDefault="00A650DF" w:rsidP="00B43C0E">
            <w:pPr>
              <w:jc w:val="center"/>
            </w:pPr>
            <w:r>
              <w:t>24</w:t>
            </w:r>
          </w:p>
        </w:tc>
        <w:tc>
          <w:tcPr>
            <w:tcW w:w="1350" w:type="dxa"/>
          </w:tcPr>
          <w:p w:rsidR="00A650DF" w:rsidRPr="00C220B2" w:rsidRDefault="00A650DF" w:rsidP="00B43C0E">
            <w:pPr>
              <w:jc w:val="center"/>
            </w:pPr>
            <w:proofErr w:type="spellStart"/>
            <w:r w:rsidRPr="00C220B2">
              <w:t>Soc-Emot</w:t>
            </w:r>
            <w:proofErr w:type="spellEnd"/>
          </w:p>
        </w:tc>
        <w:tc>
          <w:tcPr>
            <w:tcW w:w="990" w:type="dxa"/>
          </w:tcPr>
          <w:p w:rsidR="00A650DF" w:rsidRPr="00C220B2" w:rsidRDefault="00A650DF" w:rsidP="00B43C0E">
            <w:pPr>
              <w:jc w:val="center"/>
            </w:pPr>
            <w:r>
              <w:t>7-29.2%</w:t>
            </w:r>
          </w:p>
        </w:tc>
        <w:tc>
          <w:tcPr>
            <w:tcW w:w="990" w:type="dxa"/>
          </w:tcPr>
          <w:p w:rsidR="00A650DF" w:rsidRPr="00C220B2" w:rsidRDefault="00A650DF" w:rsidP="00B43C0E">
            <w:pPr>
              <w:jc w:val="center"/>
            </w:pPr>
            <w:r>
              <w:t>16-66.7%</w:t>
            </w:r>
          </w:p>
        </w:tc>
        <w:tc>
          <w:tcPr>
            <w:tcW w:w="990" w:type="dxa"/>
          </w:tcPr>
          <w:p w:rsidR="00A650DF" w:rsidRPr="00C220B2" w:rsidRDefault="00A650DF" w:rsidP="00B43C0E">
            <w:pPr>
              <w:jc w:val="center"/>
            </w:pPr>
            <w:r>
              <w:t>1-4.2%</w:t>
            </w:r>
          </w:p>
        </w:tc>
        <w:tc>
          <w:tcPr>
            <w:tcW w:w="450" w:type="dxa"/>
          </w:tcPr>
          <w:p w:rsidR="00A650DF" w:rsidRPr="00C220B2" w:rsidRDefault="00A650DF" w:rsidP="00B43C0E">
            <w:pPr>
              <w:jc w:val="center"/>
            </w:pPr>
            <w:r>
              <w:t>24</w:t>
            </w:r>
          </w:p>
        </w:tc>
        <w:tc>
          <w:tcPr>
            <w:tcW w:w="1080" w:type="dxa"/>
          </w:tcPr>
          <w:p w:rsidR="00A650DF" w:rsidRPr="00C220B2" w:rsidRDefault="00A650DF" w:rsidP="00B43C0E">
            <w:pPr>
              <w:jc w:val="center"/>
            </w:pPr>
            <w:r>
              <w:t>1-4.2%</w:t>
            </w:r>
          </w:p>
        </w:tc>
        <w:tc>
          <w:tcPr>
            <w:tcW w:w="990" w:type="dxa"/>
          </w:tcPr>
          <w:p w:rsidR="00A650DF" w:rsidRPr="00C220B2" w:rsidRDefault="00A650DF" w:rsidP="00B43C0E">
            <w:pPr>
              <w:jc w:val="center"/>
            </w:pPr>
            <w:r>
              <w:t>21-87.5%</w:t>
            </w:r>
          </w:p>
        </w:tc>
        <w:tc>
          <w:tcPr>
            <w:tcW w:w="900" w:type="dxa"/>
          </w:tcPr>
          <w:p w:rsidR="00A650DF" w:rsidRPr="00C220B2" w:rsidRDefault="00A650DF" w:rsidP="00B43C0E">
            <w:pPr>
              <w:jc w:val="center"/>
            </w:pPr>
            <w:r>
              <w:t>2-8.3%</w:t>
            </w:r>
          </w:p>
        </w:tc>
        <w:tc>
          <w:tcPr>
            <w:tcW w:w="630" w:type="dxa"/>
            <w:gridSpan w:val="2"/>
            <w:shd w:val="clear" w:color="auto" w:fill="FFE0CC" w:themeFill="accent3" w:themeFillTint="33"/>
          </w:tcPr>
          <w:p w:rsidR="00A650DF" w:rsidRPr="00C220B2" w:rsidRDefault="00A650DF" w:rsidP="00B43C0E">
            <w:pPr>
              <w:jc w:val="center"/>
            </w:pPr>
            <w:r>
              <w:t>7.3</w:t>
            </w:r>
          </w:p>
        </w:tc>
        <w:tc>
          <w:tcPr>
            <w:tcW w:w="630" w:type="dxa"/>
            <w:gridSpan w:val="2"/>
            <w:shd w:val="clear" w:color="auto" w:fill="FFE0CC" w:themeFill="accent3" w:themeFillTint="33"/>
          </w:tcPr>
          <w:p w:rsidR="00A650DF" w:rsidRPr="00C220B2" w:rsidRDefault="00A650DF" w:rsidP="00B43C0E">
            <w:pPr>
              <w:jc w:val="center"/>
            </w:pPr>
            <w:r>
              <w:t>1-15</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25</w:t>
            </w:r>
          </w:p>
        </w:tc>
        <w:tc>
          <w:tcPr>
            <w:tcW w:w="1350" w:type="dxa"/>
          </w:tcPr>
          <w:p w:rsidR="00A650DF" w:rsidRPr="00C220B2" w:rsidRDefault="00A650DF" w:rsidP="00B43C0E">
            <w:pPr>
              <w:jc w:val="center"/>
            </w:pPr>
            <w:r>
              <w:t>Physical</w:t>
            </w:r>
          </w:p>
        </w:tc>
        <w:tc>
          <w:tcPr>
            <w:tcW w:w="990" w:type="dxa"/>
          </w:tcPr>
          <w:p w:rsidR="00A650DF" w:rsidRPr="00C220B2" w:rsidRDefault="00A650DF" w:rsidP="00B43C0E">
            <w:pPr>
              <w:jc w:val="center"/>
            </w:pPr>
            <w:r>
              <w:t>1-4.0%</w:t>
            </w:r>
          </w:p>
        </w:tc>
        <w:tc>
          <w:tcPr>
            <w:tcW w:w="990" w:type="dxa"/>
          </w:tcPr>
          <w:p w:rsidR="00A650DF" w:rsidRPr="00C220B2" w:rsidRDefault="00A650DF" w:rsidP="00B43C0E">
            <w:pPr>
              <w:jc w:val="center"/>
            </w:pPr>
            <w:r>
              <w:t>23-92.7%</w:t>
            </w:r>
          </w:p>
        </w:tc>
        <w:tc>
          <w:tcPr>
            <w:tcW w:w="990" w:type="dxa"/>
          </w:tcPr>
          <w:p w:rsidR="00A650DF" w:rsidRPr="00C220B2" w:rsidRDefault="00A650DF" w:rsidP="00B43C0E">
            <w:pPr>
              <w:jc w:val="center"/>
            </w:pPr>
            <w:r>
              <w:t>1-4.0%</w:t>
            </w:r>
          </w:p>
        </w:tc>
        <w:tc>
          <w:tcPr>
            <w:tcW w:w="450" w:type="dxa"/>
          </w:tcPr>
          <w:p w:rsidR="00A650DF" w:rsidRPr="00C220B2" w:rsidRDefault="00A650DF" w:rsidP="00B43C0E">
            <w:pPr>
              <w:jc w:val="center"/>
            </w:pPr>
            <w:r>
              <w:t>25</w:t>
            </w:r>
          </w:p>
        </w:tc>
        <w:tc>
          <w:tcPr>
            <w:tcW w:w="1080" w:type="dxa"/>
          </w:tcPr>
          <w:p w:rsidR="00A650DF" w:rsidRPr="00C220B2" w:rsidRDefault="00A650DF" w:rsidP="00B43C0E">
            <w:pPr>
              <w:jc w:val="center"/>
            </w:pPr>
            <w:r>
              <w:t>1-4.0%</w:t>
            </w:r>
          </w:p>
        </w:tc>
        <w:tc>
          <w:tcPr>
            <w:tcW w:w="990" w:type="dxa"/>
          </w:tcPr>
          <w:p w:rsidR="00A650DF" w:rsidRPr="00C220B2" w:rsidRDefault="00A650DF" w:rsidP="00B43C0E">
            <w:pPr>
              <w:jc w:val="center"/>
            </w:pPr>
            <w:r>
              <w:t>20-80.0%</w:t>
            </w:r>
          </w:p>
        </w:tc>
        <w:tc>
          <w:tcPr>
            <w:tcW w:w="900" w:type="dxa"/>
          </w:tcPr>
          <w:p w:rsidR="00A650DF" w:rsidRPr="00C220B2" w:rsidRDefault="00A650DF" w:rsidP="00B43C0E">
            <w:pPr>
              <w:jc w:val="center"/>
            </w:pPr>
            <w:r>
              <w:t>4-16.0%</w:t>
            </w:r>
          </w:p>
        </w:tc>
        <w:tc>
          <w:tcPr>
            <w:tcW w:w="630" w:type="dxa"/>
            <w:gridSpan w:val="2"/>
            <w:shd w:val="clear" w:color="auto" w:fill="FFE0CC" w:themeFill="accent3" w:themeFillTint="33"/>
          </w:tcPr>
          <w:p w:rsidR="00A650DF" w:rsidRPr="00C220B2" w:rsidRDefault="00A650DF" w:rsidP="00B43C0E">
            <w:pPr>
              <w:jc w:val="center"/>
            </w:pPr>
            <w:r>
              <w:t>3.2</w:t>
            </w:r>
          </w:p>
        </w:tc>
        <w:tc>
          <w:tcPr>
            <w:tcW w:w="630" w:type="dxa"/>
            <w:gridSpan w:val="2"/>
            <w:shd w:val="clear" w:color="auto" w:fill="FFE0CC" w:themeFill="accent3" w:themeFillTint="33"/>
          </w:tcPr>
          <w:p w:rsidR="00A650DF" w:rsidRPr="00C220B2" w:rsidRDefault="00A650DF" w:rsidP="00B43C0E">
            <w:pPr>
              <w:jc w:val="center"/>
            </w:pPr>
            <w:r>
              <w:t>1-7</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25</w:t>
            </w:r>
          </w:p>
        </w:tc>
        <w:tc>
          <w:tcPr>
            <w:tcW w:w="1350" w:type="dxa"/>
          </w:tcPr>
          <w:p w:rsidR="00A650DF" w:rsidRDefault="00A650DF" w:rsidP="00B43C0E">
            <w:pPr>
              <w:jc w:val="center"/>
            </w:pPr>
            <w:r>
              <w:t>Language</w:t>
            </w:r>
          </w:p>
        </w:tc>
        <w:tc>
          <w:tcPr>
            <w:tcW w:w="990" w:type="dxa"/>
          </w:tcPr>
          <w:p w:rsidR="00A650DF" w:rsidRPr="00C220B2" w:rsidRDefault="00A650DF" w:rsidP="00B43C0E">
            <w:pPr>
              <w:jc w:val="center"/>
            </w:pPr>
            <w:r>
              <w:t>4-16.0%</w:t>
            </w:r>
          </w:p>
        </w:tc>
        <w:tc>
          <w:tcPr>
            <w:tcW w:w="990" w:type="dxa"/>
          </w:tcPr>
          <w:p w:rsidR="00A650DF" w:rsidRPr="00C220B2" w:rsidRDefault="00A650DF" w:rsidP="00B43C0E">
            <w:pPr>
              <w:jc w:val="center"/>
            </w:pPr>
            <w:r>
              <w:t>20-80.0%</w:t>
            </w:r>
          </w:p>
        </w:tc>
        <w:tc>
          <w:tcPr>
            <w:tcW w:w="990" w:type="dxa"/>
          </w:tcPr>
          <w:p w:rsidR="00A650DF" w:rsidRPr="00C220B2" w:rsidRDefault="00A650DF" w:rsidP="00B43C0E">
            <w:pPr>
              <w:jc w:val="center"/>
            </w:pPr>
            <w:r>
              <w:t>1-4.0%</w:t>
            </w:r>
          </w:p>
        </w:tc>
        <w:tc>
          <w:tcPr>
            <w:tcW w:w="450" w:type="dxa"/>
          </w:tcPr>
          <w:p w:rsidR="00A650DF" w:rsidRPr="00C220B2" w:rsidRDefault="00A650DF" w:rsidP="00B43C0E">
            <w:pPr>
              <w:jc w:val="center"/>
            </w:pPr>
            <w:r>
              <w:t>27</w:t>
            </w:r>
          </w:p>
        </w:tc>
        <w:tc>
          <w:tcPr>
            <w:tcW w:w="1080" w:type="dxa"/>
          </w:tcPr>
          <w:p w:rsidR="00A650DF" w:rsidRPr="00C220B2" w:rsidRDefault="00A650DF" w:rsidP="00B43C0E">
            <w:pPr>
              <w:jc w:val="center"/>
            </w:pPr>
            <w:r>
              <w:t>4.14.8%</w:t>
            </w:r>
          </w:p>
        </w:tc>
        <w:tc>
          <w:tcPr>
            <w:tcW w:w="990" w:type="dxa"/>
          </w:tcPr>
          <w:p w:rsidR="00A650DF" w:rsidRPr="00C220B2" w:rsidRDefault="00A650DF" w:rsidP="00B43C0E">
            <w:pPr>
              <w:jc w:val="center"/>
            </w:pPr>
            <w:r>
              <w:t>21-77.8%</w:t>
            </w:r>
          </w:p>
        </w:tc>
        <w:tc>
          <w:tcPr>
            <w:tcW w:w="900" w:type="dxa"/>
          </w:tcPr>
          <w:p w:rsidR="00A650DF" w:rsidRPr="00C220B2" w:rsidRDefault="00A650DF" w:rsidP="00B43C0E">
            <w:pPr>
              <w:jc w:val="center"/>
            </w:pPr>
            <w:r>
              <w:t>2-7.4%</w:t>
            </w:r>
          </w:p>
        </w:tc>
        <w:tc>
          <w:tcPr>
            <w:tcW w:w="630" w:type="dxa"/>
            <w:gridSpan w:val="2"/>
            <w:shd w:val="clear" w:color="auto" w:fill="FFE0CC" w:themeFill="accent3" w:themeFillTint="33"/>
          </w:tcPr>
          <w:p w:rsidR="00A650DF" w:rsidRPr="00C220B2" w:rsidRDefault="00A650DF" w:rsidP="00B43C0E">
            <w:pPr>
              <w:jc w:val="center"/>
            </w:pPr>
            <w:r>
              <w:t>5.9</w:t>
            </w:r>
          </w:p>
        </w:tc>
        <w:tc>
          <w:tcPr>
            <w:tcW w:w="630" w:type="dxa"/>
            <w:gridSpan w:val="2"/>
            <w:shd w:val="clear" w:color="auto" w:fill="FFE0CC" w:themeFill="accent3" w:themeFillTint="33"/>
          </w:tcPr>
          <w:p w:rsidR="00A650DF" w:rsidRPr="00C220B2" w:rsidRDefault="00A650DF" w:rsidP="00B43C0E">
            <w:pPr>
              <w:jc w:val="center"/>
            </w:pPr>
            <w:r>
              <w:t>2-14</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27</w:t>
            </w:r>
          </w:p>
        </w:tc>
        <w:tc>
          <w:tcPr>
            <w:tcW w:w="1350" w:type="dxa"/>
          </w:tcPr>
          <w:p w:rsidR="00A650DF" w:rsidRDefault="00A650DF" w:rsidP="00B43C0E">
            <w:pPr>
              <w:jc w:val="center"/>
            </w:pPr>
            <w:r>
              <w:t xml:space="preserve">Cognitive </w:t>
            </w:r>
          </w:p>
        </w:tc>
        <w:tc>
          <w:tcPr>
            <w:tcW w:w="990" w:type="dxa"/>
          </w:tcPr>
          <w:p w:rsidR="00A650DF" w:rsidRPr="00C220B2" w:rsidRDefault="00A650DF" w:rsidP="00B43C0E">
            <w:pPr>
              <w:jc w:val="center"/>
            </w:pPr>
            <w:r>
              <w:t>4-14.8%</w:t>
            </w:r>
          </w:p>
        </w:tc>
        <w:tc>
          <w:tcPr>
            <w:tcW w:w="990" w:type="dxa"/>
          </w:tcPr>
          <w:p w:rsidR="00A650DF" w:rsidRPr="00C220B2" w:rsidRDefault="00A650DF" w:rsidP="00B43C0E">
            <w:pPr>
              <w:jc w:val="center"/>
            </w:pPr>
            <w:r>
              <w:t>22-81.5%</w:t>
            </w:r>
          </w:p>
        </w:tc>
        <w:tc>
          <w:tcPr>
            <w:tcW w:w="990" w:type="dxa"/>
          </w:tcPr>
          <w:p w:rsidR="00A650DF" w:rsidRPr="00C220B2" w:rsidRDefault="00A650DF" w:rsidP="00B43C0E">
            <w:pPr>
              <w:jc w:val="center"/>
            </w:pPr>
            <w:r>
              <w:t>1-3.7%</w:t>
            </w:r>
          </w:p>
        </w:tc>
        <w:tc>
          <w:tcPr>
            <w:tcW w:w="450" w:type="dxa"/>
          </w:tcPr>
          <w:p w:rsidR="00A650DF" w:rsidRPr="00C220B2" w:rsidRDefault="00A650DF" w:rsidP="00B43C0E">
            <w:pPr>
              <w:jc w:val="center"/>
            </w:pPr>
            <w:r>
              <w:t>27</w:t>
            </w:r>
          </w:p>
        </w:tc>
        <w:tc>
          <w:tcPr>
            <w:tcW w:w="1080" w:type="dxa"/>
          </w:tcPr>
          <w:p w:rsidR="00A650DF" w:rsidRPr="00C220B2" w:rsidRDefault="00A650DF" w:rsidP="00B43C0E">
            <w:pPr>
              <w:jc w:val="center"/>
            </w:pPr>
            <w:r>
              <w:t>4-14.8%</w:t>
            </w:r>
          </w:p>
        </w:tc>
        <w:tc>
          <w:tcPr>
            <w:tcW w:w="990" w:type="dxa"/>
          </w:tcPr>
          <w:p w:rsidR="00A650DF" w:rsidRPr="00C220B2" w:rsidRDefault="00A650DF" w:rsidP="00B43C0E">
            <w:pPr>
              <w:jc w:val="center"/>
            </w:pPr>
            <w:r>
              <w:t>21-77.8%</w:t>
            </w:r>
          </w:p>
        </w:tc>
        <w:tc>
          <w:tcPr>
            <w:tcW w:w="900" w:type="dxa"/>
          </w:tcPr>
          <w:p w:rsidR="00A650DF" w:rsidRPr="00C220B2" w:rsidRDefault="00A650DF" w:rsidP="00B43C0E">
            <w:pPr>
              <w:jc w:val="center"/>
            </w:pPr>
            <w:r>
              <w:t>2-7.4%</w:t>
            </w:r>
          </w:p>
        </w:tc>
        <w:tc>
          <w:tcPr>
            <w:tcW w:w="630" w:type="dxa"/>
            <w:gridSpan w:val="2"/>
            <w:shd w:val="clear" w:color="auto" w:fill="FFE0CC" w:themeFill="accent3" w:themeFillTint="33"/>
          </w:tcPr>
          <w:p w:rsidR="00A650DF" w:rsidRPr="00C220B2" w:rsidRDefault="00A650DF" w:rsidP="00B43C0E">
            <w:pPr>
              <w:jc w:val="center"/>
            </w:pPr>
            <w:r>
              <w:t>5.9</w:t>
            </w:r>
          </w:p>
        </w:tc>
        <w:tc>
          <w:tcPr>
            <w:tcW w:w="630" w:type="dxa"/>
            <w:gridSpan w:val="2"/>
            <w:shd w:val="clear" w:color="auto" w:fill="FFE0CC" w:themeFill="accent3" w:themeFillTint="33"/>
          </w:tcPr>
          <w:p w:rsidR="00A650DF" w:rsidRPr="00C220B2" w:rsidRDefault="00A650DF" w:rsidP="00B43C0E">
            <w:pPr>
              <w:jc w:val="center"/>
            </w:pPr>
            <w:r>
              <w:t>2.14</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25</w:t>
            </w:r>
          </w:p>
        </w:tc>
        <w:tc>
          <w:tcPr>
            <w:tcW w:w="1350" w:type="dxa"/>
          </w:tcPr>
          <w:p w:rsidR="00A650DF" w:rsidRDefault="00A650DF" w:rsidP="00B43C0E">
            <w:pPr>
              <w:jc w:val="center"/>
            </w:pPr>
            <w:r>
              <w:t>Literacy</w:t>
            </w:r>
          </w:p>
        </w:tc>
        <w:tc>
          <w:tcPr>
            <w:tcW w:w="990" w:type="dxa"/>
          </w:tcPr>
          <w:p w:rsidR="00A650DF" w:rsidRPr="00C220B2" w:rsidRDefault="00A650DF" w:rsidP="00B43C0E">
            <w:pPr>
              <w:jc w:val="center"/>
            </w:pPr>
            <w:r>
              <w:t>12-48.0%</w:t>
            </w:r>
          </w:p>
        </w:tc>
        <w:tc>
          <w:tcPr>
            <w:tcW w:w="990" w:type="dxa"/>
          </w:tcPr>
          <w:p w:rsidR="00A650DF" w:rsidRPr="00C220B2" w:rsidRDefault="00A650DF" w:rsidP="00B43C0E">
            <w:pPr>
              <w:jc w:val="center"/>
            </w:pPr>
            <w:r>
              <w:t>12-48.0%</w:t>
            </w:r>
          </w:p>
        </w:tc>
        <w:tc>
          <w:tcPr>
            <w:tcW w:w="990" w:type="dxa"/>
          </w:tcPr>
          <w:p w:rsidR="00A650DF" w:rsidRPr="00C220B2" w:rsidRDefault="00A650DF" w:rsidP="00B43C0E">
            <w:pPr>
              <w:jc w:val="center"/>
            </w:pPr>
            <w:r>
              <w:t>1-4.0%</w:t>
            </w:r>
          </w:p>
        </w:tc>
        <w:tc>
          <w:tcPr>
            <w:tcW w:w="450" w:type="dxa"/>
          </w:tcPr>
          <w:p w:rsidR="00A650DF" w:rsidRPr="00C220B2" w:rsidRDefault="00A650DF" w:rsidP="00B43C0E">
            <w:pPr>
              <w:jc w:val="center"/>
            </w:pPr>
            <w:r>
              <w:t>25</w:t>
            </w:r>
          </w:p>
        </w:tc>
        <w:tc>
          <w:tcPr>
            <w:tcW w:w="1080" w:type="dxa"/>
          </w:tcPr>
          <w:p w:rsidR="00A650DF" w:rsidRPr="00C220B2" w:rsidRDefault="00A650DF" w:rsidP="00B43C0E">
            <w:pPr>
              <w:jc w:val="center"/>
            </w:pPr>
            <w:r>
              <w:t>2-8.0%</w:t>
            </w:r>
          </w:p>
        </w:tc>
        <w:tc>
          <w:tcPr>
            <w:tcW w:w="990" w:type="dxa"/>
          </w:tcPr>
          <w:p w:rsidR="00A650DF" w:rsidRPr="00C220B2" w:rsidRDefault="00A650DF" w:rsidP="00B43C0E">
            <w:pPr>
              <w:jc w:val="center"/>
            </w:pPr>
            <w:r>
              <w:t>22-88.0%</w:t>
            </w:r>
          </w:p>
        </w:tc>
        <w:tc>
          <w:tcPr>
            <w:tcW w:w="900" w:type="dxa"/>
          </w:tcPr>
          <w:p w:rsidR="00A650DF" w:rsidRPr="00C220B2" w:rsidRDefault="00A650DF" w:rsidP="00B43C0E">
            <w:pPr>
              <w:jc w:val="center"/>
            </w:pPr>
            <w:r>
              <w:t>1-4.0%</w:t>
            </w:r>
          </w:p>
        </w:tc>
        <w:tc>
          <w:tcPr>
            <w:tcW w:w="630" w:type="dxa"/>
            <w:gridSpan w:val="2"/>
            <w:shd w:val="clear" w:color="auto" w:fill="FFE0CC" w:themeFill="accent3" w:themeFillTint="33"/>
          </w:tcPr>
          <w:p w:rsidR="00A650DF" w:rsidRPr="00C220B2" w:rsidRDefault="00A650DF" w:rsidP="00B43C0E">
            <w:pPr>
              <w:jc w:val="center"/>
            </w:pPr>
            <w:r>
              <w:t>8.5</w:t>
            </w:r>
          </w:p>
        </w:tc>
        <w:tc>
          <w:tcPr>
            <w:tcW w:w="630" w:type="dxa"/>
            <w:gridSpan w:val="2"/>
            <w:shd w:val="clear" w:color="auto" w:fill="FFE0CC" w:themeFill="accent3" w:themeFillTint="33"/>
          </w:tcPr>
          <w:p w:rsidR="00A650DF" w:rsidRPr="00C220B2" w:rsidRDefault="00A650DF" w:rsidP="00B43C0E">
            <w:pPr>
              <w:jc w:val="center"/>
            </w:pPr>
            <w:r>
              <w:t>3-17</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Default="00A650DF" w:rsidP="00B43C0E">
            <w:pPr>
              <w:jc w:val="center"/>
            </w:pPr>
            <w:r>
              <w:t>25</w:t>
            </w:r>
          </w:p>
        </w:tc>
        <w:tc>
          <w:tcPr>
            <w:tcW w:w="1350" w:type="dxa"/>
          </w:tcPr>
          <w:p w:rsidR="00A650DF" w:rsidRDefault="00A650DF" w:rsidP="00B43C0E">
            <w:pPr>
              <w:jc w:val="center"/>
            </w:pPr>
            <w:r>
              <w:t>Mathematics</w:t>
            </w:r>
          </w:p>
        </w:tc>
        <w:tc>
          <w:tcPr>
            <w:tcW w:w="990" w:type="dxa"/>
          </w:tcPr>
          <w:p w:rsidR="00A650DF" w:rsidRDefault="00A650DF" w:rsidP="00B43C0E">
            <w:pPr>
              <w:jc w:val="center"/>
            </w:pPr>
            <w:r>
              <w:t>12-48.0%</w:t>
            </w:r>
          </w:p>
        </w:tc>
        <w:tc>
          <w:tcPr>
            <w:tcW w:w="990" w:type="dxa"/>
          </w:tcPr>
          <w:p w:rsidR="00A650DF" w:rsidRDefault="00A650DF" w:rsidP="00B43C0E">
            <w:pPr>
              <w:jc w:val="center"/>
            </w:pPr>
            <w:r>
              <w:t>12-48.0%</w:t>
            </w:r>
          </w:p>
        </w:tc>
        <w:tc>
          <w:tcPr>
            <w:tcW w:w="990" w:type="dxa"/>
          </w:tcPr>
          <w:p w:rsidR="00A650DF" w:rsidRDefault="00A650DF" w:rsidP="00B43C0E">
            <w:pPr>
              <w:jc w:val="center"/>
            </w:pPr>
            <w:r>
              <w:t>1-4.0%</w:t>
            </w:r>
          </w:p>
        </w:tc>
        <w:tc>
          <w:tcPr>
            <w:tcW w:w="450" w:type="dxa"/>
          </w:tcPr>
          <w:p w:rsidR="00A650DF" w:rsidRPr="00C220B2" w:rsidRDefault="00A650DF" w:rsidP="00B43C0E">
            <w:pPr>
              <w:jc w:val="center"/>
            </w:pPr>
            <w:r>
              <w:t>25</w:t>
            </w:r>
          </w:p>
        </w:tc>
        <w:tc>
          <w:tcPr>
            <w:tcW w:w="1080" w:type="dxa"/>
          </w:tcPr>
          <w:p w:rsidR="00A650DF" w:rsidRPr="00C220B2" w:rsidRDefault="00A650DF" w:rsidP="00B43C0E">
            <w:pPr>
              <w:jc w:val="center"/>
            </w:pPr>
            <w:r>
              <w:t>5-20.0%</w:t>
            </w:r>
          </w:p>
        </w:tc>
        <w:tc>
          <w:tcPr>
            <w:tcW w:w="990" w:type="dxa"/>
          </w:tcPr>
          <w:p w:rsidR="00A650DF" w:rsidRPr="00C220B2" w:rsidRDefault="00A650DF" w:rsidP="00B43C0E">
            <w:pPr>
              <w:jc w:val="center"/>
            </w:pPr>
            <w:r>
              <w:t>18-72.0%</w:t>
            </w:r>
          </w:p>
        </w:tc>
        <w:tc>
          <w:tcPr>
            <w:tcW w:w="900" w:type="dxa"/>
          </w:tcPr>
          <w:p w:rsidR="00A650DF" w:rsidRPr="00C220B2" w:rsidRDefault="00A650DF" w:rsidP="00B43C0E">
            <w:pPr>
              <w:jc w:val="center"/>
            </w:pPr>
            <w:r>
              <w:t>2-8.0%</w:t>
            </w:r>
          </w:p>
        </w:tc>
        <w:tc>
          <w:tcPr>
            <w:tcW w:w="630" w:type="dxa"/>
            <w:gridSpan w:val="2"/>
            <w:shd w:val="clear" w:color="auto" w:fill="FFE0CC" w:themeFill="accent3" w:themeFillTint="33"/>
          </w:tcPr>
          <w:p w:rsidR="00A650DF" w:rsidRPr="00C220B2" w:rsidRDefault="00A650DF" w:rsidP="00B43C0E">
            <w:pPr>
              <w:jc w:val="center"/>
            </w:pPr>
            <w:r>
              <w:t>5.72</w:t>
            </w:r>
          </w:p>
        </w:tc>
        <w:tc>
          <w:tcPr>
            <w:tcW w:w="630" w:type="dxa"/>
            <w:gridSpan w:val="2"/>
            <w:shd w:val="clear" w:color="auto" w:fill="FFE0CC" w:themeFill="accent3" w:themeFillTint="33"/>
          </w:tcPr>
          <w:p w:rsidR="00A650DF" w:rsidRPr="00C220B2" w:rsidRDefault="00A650DF" w:rsidP="00B43C0E">
            <w:pPr>
              <w:jc w:val="center"/>
            </w:pPr>
            <w:r>
              <w:t>2-11</w:t>
            </w:r>
          </w:p>
        </w:tc>
        <w:tc>
          <w:tcPr>
            <w:tcW w:w="720" w:type="dxa"/>
            <w:gridSpan w:val="3"/>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A650DF">
        <w:trPr>
          <w:trHeight w:val="404"/>
          <w:jc w:val="center"/>
        </w:trPr>
        <w:tc>
          <w:tcPr>
            <w:tcW w:w="635" w:type="dxa"/>
            <w:shd w:val="clear" w:color="auto" w:fill="CAF278" w:themeFill="background2"/>
          </w:tcPr>
          <w:p w:rsidR="00A650DF" w:rsidRPr="00C220B2" w:rsidRDefault="00A650DF" w:rsidP="00B43C0E">
            <w:pPr>
              <w:jc w:val="center"/>
              <w:rPr>
                <w:b/>
              </w:rPr>
            </w:pPr>
            <w:r w:rsidRPr="00C220B2">
              <w:rPr>
                <w:b/>
              </w:rPr>
              <w:t>AGE</w:t>
            </w:r>
          </w:p>
        </w:tc>
        <w:tc>
          <w:tcPr>
            <w:tcW w:w="445" w:type="dxa"/>
            <w:shd w:val="clear" w:color="auto" w:fill="CAF278" w:themeFill="background2"/>
          </w:tcPr>
          <w:p w:rsidR="00A650DF" w:rsidRPr="00C220B2" w:rsidRDefault="00A650DF" w:rsidP="00B43C0E">
            <w:pPr>
              <w:jc w:val="center"/>
              <w:rPr>
                <w:b/>
              </w:rPr>
            </w:pPr>
            <w:r w:rsidRPr="00C220B2">
              <w:rPr>
                <w:b/>
              </w:rPr>
              <w:t>#</w:t>
            </w:r>
          </w:p>
        </w:tc>
        <w:tc>
          <w:tcPr>
            <w:tcW w:w="1350" w:type="dxa"/>
            <w:shd w:val="clear" w:color="auto" w:fill="CAF278" w:themeFill="background2"/>
          </w:tcPr>
          <w:p w:rsidR="00A650DF" w:rsidRPr="00C220B2" w:rsidRDefault="00A650DF" w:rsidP="00B43C0E">
            <w:pPr>
              <w:jc w:val="center"/>
              <w:rPr>
                <w:b/>
              </w:rPr>
            </w:pPr>
            <w:r w:rsidRPr="00C220B2">
              <w:rPr>
                <w:b/>
              </w:rPr>
              <w:t>AREA</w:t>
            </w:r>
          </w:p>
        </w:tc>
        <w:tc>
          <w:tcPr>
            <w:tcW w:w="990" w:type="dxa"/>
            <w:shd w:val="clear" w:color="auto" w:fill="CAF278" w:themeFill="background2"/>
          </w:tcPr>
          <w:p w:rsidR="00A650DF" w:rsidRPr="00C220B2" w:rsidRDefault="00A650DF" w:rsidP="00B43C0E">
            <w:pPr>
              <w:jc w:val="center"/>
              <w:rPr>
                <w:b/>
              </w:rPr>
            </w:pPr>
            <w:r w:rsidRPr="00C220B2">
              <w:rPr>
                <w:b/>
              </w:rPr>
              <w:t xml:space="preserve">Fall </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MEET</w:t>
            </w:r>
          </w:p>
        </w:tc>
        <w:tc>
          <w:tcPr>
            <w:tcW w:w="990" w:type="dxa"/>
            <w:shd w:val="clear" w:color="auto" w:fill="CAF278" w:themeFill="background2"/>
          </w:tcPr>
          <w:p w:rsidR="00A650DF" w:rsidRPr="00C220B2" w:rsidRDefault="00A650DF" w:rsidP="00B43C0E">
            <w:pPr>
              <w:jc w:val="center"/>
              <w:rPr>
                <w:b/>
              </w:rPr>
            </w:pPr>
            <w:r w:rsidRPr="00C220B2">
              <w:rPr>
                <w:b/>
              </w:rPr>
              <w:t>Fall</w:t>
            </w:r>
          </w:p>
          <w:p w:rsidR="00A650DF" w:rsidRPr="00C220B2" w:rsidRDefault="00A650DF" w:rsidP="00B43C0E">
            <w:pPr>
              <w:jc w:val="center"/>
              <w:rPr>
                <w:b/>
              </w:rPr>
            </w:pPr>
            <w:r w:rsidRPr="00C220B2">
              <w:rPr>
                <w:b/>
              </w:rPr>
              <w:t>EXCEED</w:t>
            </w:r>
          </w:p>
        </w:tc>
        <w:tc>
          <w:tcPr>
            <w:tcW w:w="450" w:type="dxa"/>
            <w:shd w:val="clear" w:color="auto" w:fill="CAF278" w:themeFill="background2"/>
          </w:tcPr>
          <w:p w:rsidR="00A650DF" w:rsidRPr="00C220B2" w:rsidRDefault="00A650DF" w:rsidP="00B43C0E">
            <w:pPr>
              <w:jc w:val="center"/>
              <w:rPr>
                <w:b/>
              </w:rPr>
            </w:pPr>
            <w:r>
              <w:rPr>
                <w:b/>
              </w:rPr>
              <w:t>#</w:t>
            </w:r>
          </w:p>
        </w:tc>
        <w:tc>
          <w:tcPr>
            <w:tcW w:w="108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Below</w:t>
            </w:r>
          </w:p>
        </w:tc>
        <w:tc>
          <w:tcPr>
            <w:tcW w:w="99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sidRPr="00C220B2">
              <w:rPr>
                <w:b/>
              </w:rPr>
              <w:t>Meet</w:t>
            </w:r>
          </w:p>
        </w:tc>
        <w:tc>
          <w:tcPr>
            <w:tcW w:w="900" w:type="dxa"/>
            <w:shd w:val="clear" w:color="auto" w:fill="CAF278" w:themeFill="background2"/>
          </w:tcPr>
          <w:p w:rsidR="00A650DF" w:rsidRPr="00C220B2" w:rsidRDefault="00A650DF" w:rsidP="00B43C0E">
            <w:pPr>
              <w:jc w:val="center"/>
              <w:rPr>
                <w:b/>
              </w:rPr>
            </w:pPr>
            <w:r w:rsidRPr="00C220B2">
              <w:rPr>
                <w:b/>
              </w:rPr>
              <w:t>Winter</w:t>
            </w:r>
          </w:p>
          <w:p w:rsidR="00A650DF" w:rsidRPr="00C220B2" w:rsidRDefault="00A650DF" w:rsidP="00B43C0E">
            <w:pPr>
              <w:jc w:val="center"/>
              <w:rPr>
                <w:b/>
              </w:rPr>
            </w:pPr>
            <w:r>
              <w:rPr>
                <w:b/>
              </w:rPr>
              <w:t>Exceed</w:t>
            </w:r>
          </w:p>
        </w:tc>
        <w:tc>
          <w:tcPr>
            <w:tcW w:w="3240" w:type="dxa"/>
            <w:gridSpan w:val="9"/>
            <w:shd w:val="clear" w:color="auto" w:fill="FFE0CC" w:themeFill="accent3" w:themeFillTint="33"/>
          </w:tcPr>
          <w:p w:rsidR="00A650DF" w:rsidRDefault="00A650DF" w:rsidP="00B43C0E">
            <w:pPr>
              <w:jc w:val="center"/>
              <w:rPr>
                <w:b/>
              </w:rPr>
            </w:pPr>
            <w:r>
              <w:rPr>
                <w:b/>
              </w:rPr>
              <w:t>Growth by Area of Development</w:t>
            </w:r>
          </w:p>
          <w:p w:rsidR="00A650DF" w:rsidRPr="00C220B2" w:rsidRDefault="00A650DF" w:rsidP="00B43C0E">
            <w:pPr>
              <w:jc w:val="center"/>
              <w:rPr>
                <w:b/>
              </w:rPr>
            </w:pPr>
            <w:r>
              <w:rPr>
                <w:b/>
              </w:rPr>
              <w:t>of Widely Held Expectations</w:t>
            </w:r>
          </w:p>
        </w:tc>
      </w:tr>
      <w:tr w:rsidR="00A650DF" w:rsidRPr="00C220B2" w:rsidTr="00B43C0E">
        <w:trPr>
          <w:jc w:val="center"/>
        </w:trPr>
        <w:tc>
          <w:tcPr>
            <w:tcW w:w="635" w:type="dxa"/>
            <w:shd w:val="clear" w:color="auto" w:fill="FFE0CC" w:themeFill="accent3" w:themeFillTint="33"/>
          </w:tcPr>
          <w:p w:rsidR="00A650DF" w:rsidRPr="00C220B2" w:rsidRDefault="00A650DF" w:rsidP="00B43C0E">
            <w:pPr>
              <w:jc w:val="center"/>
            </w:pPr>
            <w:r>
              <w:t>4</w:t>
            </w:r>
          </w:p>
        </w:tc>
        <w:tc>
          <w:tcPr>
            <w:tcW w:w="445" w:type="dxa"/>
          </w:tcPr>
          <w:p w:rsidR="00A650DF" w:rsidRPr="00C220B2" w:rsidRDefault="00A650DF" w:rsidP="00B43C0E">
            <w:pPr>
              <w:jc w:val="center"/>
            </w:pPr>
            <w:r>
              <w:t>29</w:t>
            </w:r>
          </w:p>
        </w:tc>
        <w:tc>
          <w:tcPr>
            <w:tcW w:w="1350" w:type="dxa"/>
          </w:tcPr>
          <w:p w:rsidR="00A650DF" w:rsidRPr="00C220B2" w:rsidRDefault="00A650DF" w:rsidP="00B43C0E">
            <w:pPr>
              <w:jc w:val="center"/>
            </w:pPr>
            <w:proofErr w:type="spellStart"/>
            <w:r w:rsidRPr="00C220B2">
              <w:t>Soc-Emot</w:t>
            </w:r>
            <w:proofErr w:type="spellEnd"/>
          </w:p>
        </w:tc>
        <w:tc>
          <w:tcPr>
            <w:tcW w:w="990" w:type="dxa"/>
          </w:tcPr>
          <w:p w:rsidR="00A650DF" w:rsidRPr="00C220B2" w:rsidRDefault="00A650DF" w:rsidP="00B43C0E">
            <w:pPr>
              <w:jc w:val="center"/>
            </w:pPr>
            <w:r>
              <w:t>8-27.6%</w:t>
            </w:r>
          </w:p>
        </w:tc>
        <w:tc>
          <w:tcPr>
            <w:tcW w:w="990" w:type="dxa"/>
          </w:tcPr>
          <w:p w:rsidR="00A650DF" w:rsidRPr="00C220B2" w:rsidRDefault="00A650DF" w:rsidP="00B43C0E">
            <w:pPr>
              <w:jc w:val="center"/>
            </w:pPr>
            <w:r>
              <w:t>21-72.4%</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29</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25-86.2%</w:t>
            </w:r>
          </w:p>
        </w:tc>
        <w:tc>
          <w:tcPr>
            <w:tcW w:w="900" w:type="dxa"/>
          </w:tcPr>
          <w:p w:rsidR="00A650DF" w:rsidRPr="00C220B2" w:rsidRDefault="00A650DF" w:rsidP="00B43C0E">
            <w:pPr>
              <w:jc w:val="center"/>
            </w:pPr>
            <w:r>
              <w:t>4-13.8%</w:t>
            </w:r>
          </w:p>
        </w:tc>
        <w:tc>
          <w:tcPr>
            <w:tcW w:w="720" w:type="dxa"/>
            <w:gridSpan w:val="3"/>
            <w:shd w:val="clear" w:color="auto" w:fill="FFE0CC" w:themeFill="accent3" w:themeFillTint="33"/>
          </w:tcPr>
          <w:p w:rsidR="00A650DF" w:rsidRPr="00C220B2" w:rsidRDefault="00A650DF" w:rsidP="00B43C0E">
            <w:pPr>
              <w:jc w:val="center"/>
            </w:pPr>
            <w:r>
              <w:t>6.7</w:t>
            </w:r>
          </w:p>
        </w:tc>
        <w:tc>
          <w:tcPr>
            <w:tcW w:w="630" w:type="dxa"/>
            <w:gridSpan w:val="2"/>
            <w:shd w:val="clear" w:color="auto" w:fill="FFE0CC" w:themeFill="accent3" w:themeFillTint="33"/>
          </w:tcPr>
          <w:p w:rsidR="00A650DF" w:rsidRPr="00C220B2" w:rsidRDefault="00A650DF" w:rsidP="00B43C0E">
            <w:pPr>
              <w:jc w:val="center"/>
            </w:pPr>
            <w:r>
              <w:t>2-15</w:t>
            </w:r>
          </w:p>
        </w:tc>
        <w:tc>
          <w:tcPr>
            <w:tcW w:w="63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25-40%</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28</w:t>
            </w:r>
          </w:p>
        </w:tc>
        <w:tc>
          <w:tcPr>
            <w:tcW w:w="1350" w:type="dxa"/>
          </w:tcPr>
          <w:p w:rsidR="00A650DF" w:rsidRPr="00C220B2" w:rsidRDefault="00A650DF" w:rsidP="00B43C0E">
            <w:pPr>
              <w:jc w:val="center"/>
            </w:pPr>
            <w:r>
              <w:t>Physical</w:t>
            </w:r>
          </w:p>
        </w:tc>
        <w:tc>
          <w:tcPr>
            <w:tcW w:w="990" w:type="dxa"/>
          </w:tcPr>
          <w:p w:rsidR="00A650DF" w:rsidRPr="00C220B2" w:rsidRDefault="00A650DF" w:rsidP="00B43C0E">
            <w:pPr>
              <w:jc w:val="center"/>
            </w:pPr>
            <w:r>
              <w:t>6-21.4%</w:t>
            </w:r>
          </w:p>
        </w:tc>
        <w:tc>
          <w:tcPr>
            <w:tcW w:w="990" w:type="dxa"/>
          </w:tcPr>
          <w:p w:rsidR="00A650DF" w:rsidRPr="00C220B2" w:rsidRDefault="00A650DF" w:rsidP="00B43C0E">
            <w:pPr>
              <w:jc w:val="center"/>
            </w:pPr>
            <w:r>
              <w:t>22-78.6%</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28</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28-100%</w:t>
            </w:r>
          </w:p>
        </w:tc>
        <w:tc>
          <w:tcPr>
            <w:tcW w:w="900" w:type="dxa"/>
          </w:tcPr>
          <w:p w:rsidR="00A650DF" w:rsidRPr="00C220B2" w:rsidRDefault="00A650DF" w:rsidP="00B43C0E">
            <w:pPr>
              <w:jc w:val="center"/>
            </w:pPr>
            <w:r>
              <w:t>0-0.0%</w:t>
            </w:r>
          </w:p>
        </w:tc>
        <w:tc>
          <w:tcPr>
            <w:tcW w:w="720" w:type="dxa"/>
            <w:gridSpan w:val="3"/>
            <w:shd w:val="clear" w:color="auto" w:fill="FFE0CC" w:themeFill="accent3" w:themeFillTint="33"/>
          </w:tcPr>
          <w:p w:rsidR="00A650DF" w:rsidRPr="00C220B2" w:rsidRDefault="00A650DF" w:rsidP="00B43C0E">
            <w:pPr>
              <w:jc w:val="center"/>
            </w:pPr>
            <w:r>
              <w:t>3.7</w:t>
            </w:r>
          </w:p>
        </w:tc>
        <w:tc>
          <w:tcPr>
            <w:tcW w:w="630" w:type="dxa"/>
            <w:gridSpan w:val="2"/>
            <w:shd w:val="clear" w:color="auto" w:fill="FFE0CC" w:themeFill="accent3" w:themeFillTint="33"/>
          </w:tcPr>
          <w:p w:rsidR="00A650DF" w:rsidRPr="00C220B2" w:rsidRDefault="00A650DF" w:rsidP="00B43C0E">
            <w:pPr>
              <w:jc w:val="center"/>
            </w:pPr>
            <w:r>
              <w:t>1-8</w:t>
            </w:r>
          </w:p>
        </w:tc>
        <w:tc>
          <w:tcPr>
            <w:tcW w:w="63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29</w:t>
            </w:r>
          </w:p>
        </w:tc>
        <w:tc>
          <w:tcPr>
            <w:tcW w:w="1350" w:type="dxa"/>
          </w:tcPr>
          <w:p w:rsidR="00A650DF" w:rsidRDefault="00A650DF" w:rsidP="00B43C0E">
            <w:pPr>
              <w:jc w:val="center"/>
            </w:pPr>
            <w:r>
              <w:t>Language</w:t>
            </w:r>
          </w:p>
        </w:tc>
        <w:tc>
          <w:tcPr>
            <w:tcW w:w="990" w:type="dxa"/>
          </w:tcPr>
          <w:p w:rsidR="00A650DF" w:rsidRPr="00C220B2" w:rsidRDefault="00A650DF" w:rsidP="00B43C0E">
            <w:pPr>
              <w:jc w:val="center"/>
            </w:pPr>
            <w:r>
              <w:t>3-10.3%</w:t>
            </w:r>
          </w:p>
        </w:tc>
        <w:tc>
          <w:tcPr>
            <w:tcW w:w="990" w:type="dxa"/>
          </w:tcPr>
          <w:p w:rsidR="00A650DF" w:rsidRPr="00C220B2" w:rsidRDefault="00A650DF" w:rsidP="00B43C0E">
            <w:pPr>
              <w:jc w:val="center"/>
            </w:pPr>
            <w:r>
              <w:t>26-89.7%</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29</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27-93.1%</w:t>
            </w:r>
          </w:p>
        </w:tc>
        <w:tc>
          <w:tcPr>
            <w:tcW w:w="900" w:type="dxa"/>
          </w:tcPr>
          <w:p w:rsidR="00A650DF" w:rsidRPr="00C220B2" w:rsidRDefault="00A650DF" w:rsidP="00B43C0E">
            <w:pPr>
              <w:jc w:val="center"/>
            </w:pPr>
            <w:r>
              <w:t>2-6.9%</w:t>
            </w:r>
          </w:p>
        </w:tc>
        <w:tc>
          <w:tcPr>
            <w:tcW w:w="720" w:type="dxa"/>
            <w:gridSpan w:val="3"/>
            <w:shd w:val="clear" w:color="auto" w:fill="FFE0CC" w:themeFill="accent3" w:themeFillTint="33"/>
          </w:tcPr>
          <w:p w:rsidR="00A650DF" w:rsidRPr="00C220B2" w:rsidRDefault="00A650DF" w:rsidP="00B43C0E">
            <w:pPr>
              <w:jc w:val="center"/>
            </w:pPr>
            <w:r>
              <w:t>6.6</w:t>
            </w:r>
          </w:p>
        </w:tc>
        <w:tc>
          <w:tcPr>
            <w:tcW w:w="630" w:type="dxa"/>
            <w:gridSpan w:val="2"/>
            <w:shd w:val="clear" w:color="auto" w:fill="FFE0CC" w:themeFill="accent3" w:themeFillTint="33"/>
          </w:tcPr>
          <w:p w:rsidR="00A650DF" w:rsidRPr="00C220B2" w:rsidRDefault="00A650DF" w:rsidP="00B43C0E">
            <w:pPr>
              <w:jc w:val="center"/>
            </w:pPr>
            <w:r>
              <w:t>1-12</w:t>
            </w:r>
          </w:p>
        </w:tc>
        <w:tc>
          <w:tcPr>
            <w:tcW w:w="63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29</w:t>
            </w:r>
          </w:p>
        </w:tc>
        <w:tc>
          <w:tcPr>
            <w:tcW w:w="1350" w:type="dxa"/>
          </w:tcPr>
          <w:p w:rsidR="00A650DF" w:rsidRDefault="00A650DF" w:rsidP="00B43C0E">
            <w:pPr>
              <w:jc w:val="center"/>
            </w:pPr>
            <w:r>
              <w:t xml:space="preserve">Cognitive </w:t>
            </w:r>
          </w:p>
        </w:tc>
        <w:tc>
          <w:tcPr>
            <w:tcW w:w="990" w:type="dxa"/>
          </w:tcPr>
          <w:p w:rsidR="00A650DF" w:rsidRPr="00C220B2" w:rsidRDefault="00A650DF" w:rsidP="00B43C0E">
            <w:pPr>
              <w:jc w:val="center"/>
            </w:pPr>
            <w:r>
              <w:t>1-3.4%</w:t>
            </w:r>
          </w:p>
        </w:tc>
        <w:tc>
          <w:tcPr>
            <w:tcW w:w="990" w:type="dxa"/>
          </w:tcPr>
          <w:p w:rsidR="00A650DF" w:rsidRPr="00C220B2" w:rsidRDefault="00A650DF" w:rsidP="00B43C0E">
            <w:pPr>
              <w:jc w:val="center"/>
            </w:pPr>
            <w:r>
              <w:t>28-96.6%</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29</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29.100%</w:t>
            </w:r>
          </w:p>
        </w:tc>
        <w:tc>
          <w:tcPr>
            <w:tcW w:w="900" w:type="dxa"/>
          </w:tcPr>
          <w:p w:rsidR="00A650DF" w:rsidRPr="00C220B2" w:rsidRDefault="00A650DF" w:rsidP="00B43C0E">
            <w:pPr>
              <w:jc w:val="center"/>
            </w:pPr>
            <w:r>
              <w:t>0-0.0%</w:t>
            </w:r>
          </w:p>
        </w:tc>
        <w:tc>
          <w:tcPr>
            <w:tcW w:w="720" w:type="dxa"/>
            <w:gridSpan w:val="3"/>
            <w:shd w:val="clear" w:color="auto" w:fill="FFE0CC" w:themeFill="accent3" w:themeFillTint="33"/>
          </w:tcPr>
          <w:p w:rsidR="00A650DF" w:rsidRPr="00C220B2" w:rsidRDefault="00A650DF" w:rsidP="00B43C0E">
            <w:pPr>
              <w:jc w:val="center"/>
            </w:pPr>
            <w:r>
              <w:t>7.8</w:t>
            </w:r>
          </w:p>
        </w:tc>
        <w:tc>
          <w:tcPr>
            <w:tcW w:w="630" w:type="dxa"/>
            <w:gridSpan w:val="2"/>
            <w:shd w:val="clear" w:color="auto" w:fill="FFE0CC" w:themeFill="accent3" w:themeFillTint="33"/>
          </w:tcPr>
          <w:p w:rsidR="00A650DF" w:rsidRPr="00C220B2" w:rsidRDefault="00A650DF" w:rsidP="00B43C0E">
            <w:pPr>
              <w:jc w:val="center"/>
            </w:pPr>
            <w:r>
              <w:t>2-15</w:t>
            </w:r>
          </w:p>
        </w:tc>
        <w:tc>
          <w:tcPr>
            <w:tcW w:w="63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25-49%</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Pr="00C220B2" w:rsidRDefault="00A650DF" w:rsidP="00B43C0E">
            <w:pPr>
              <w:jc w:val="center"/>
            </w:pPr>
            <w:r>
              <w:t>27</w:t>
            </w:r>
          </w:p>
        </w:tc>
        <w:tc>
          <w:tcPr>
            <w:tcW w:w="1350" w:type="dxa"/>
          </w:tcPr>
          <w:p w:rsidR="00A650DF" w:rsidRDefault="00A650DF" w:rsidP="00B43C0E">
            <w:pPr>
              <w:jc w:val="center"/>
            </w:pPr>
            <w:r>
              <w:t>Literacy</w:t>
            </w:r>
          </w:p>
        </w:tc>
        <w:tc>
          <w:tcPr>
            <w:tcW w:w="990" w:type="dxa"/>
          </w:tcPr>
          <w:p w:rsidR="00A650DF" w:rsidRPr="00C220B2" w:rsidRDefault="00A650DF" w:rsidP="00B43C0E">
            <w:pPr>
              <w:jc w:val="center"/>
            </w:pPr>
            <w:r>
              <w:t>4-14.8%</w:t>
            </w:r>
          </w:p>
        </w:tc>
        <w:tc>
          <w:tcPr>
            <w:tcW w:w="990" w:type="dxa"/>
          </w:tcPr>
          <w:p w:rsidR="00A650DF" w:rsidRPr="00C220B2" w:rsidRDefault="00A650DF" w:rsidP="00B43C0E">
            <w:pPr>
              <w:jc w:val="center"/>
            </w:pPr>
            <w:r>
              <w:t>23-85.2%</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27</w:t>
            </w:r>
          </w:p>
        </w:tc>
        <w:tc>
          <w:tcPr>
            <w:tcW w:w="1080" w:type="dxa"/>
          </w:tcPr>
          <w:p w:rsidR="00A650DF" w:rsidRPr="00C220B2" w:rsidRDefault="00A650DF" w:rsidP="00B43C0E">
            <w:pPr>
              <w:jc w:val="center"/>
            </w:pPr>
            <w:r>
              <w:t>0-0.0%</w:t>
            </w:r>
          </w:p>
        </w:tc>
        <w:tc>
          <w:tcPr>
            <w:tcW w:w="990" w:type="dxa"/>
          </w:tcPr>
          <w:p w:rsidR="00A650DF" w:rsidRPr="00C220B2" w:rsidRDefault="00A650DF" w:rsidP="00B43C0E">
            <w:pPr>
              <w:jc w:val="center"/>
            </w:pPr>
            <w:r>
              <w:t>26.96.3%</w:t>
            </w:r>
          </w:p>
        </w:tc>
        <w:tc>
          <w:tcPr>
            <w:tcW w:w="900" w:type="dxa"/>
          </w:tcPr>
          <w:p w:rsidR="00A650DF" w:rsidRPr="00C220B2" w:rsidRDefault="00A650DF" w:rsidP="00B43C0E">
            <w:pPr>
              <w:jc w:val="center"/>
            </w:pPr>
            <w:r>
              <w:t>1-3.7%</w:t>
            </w:r>
          </w:p>
        </w:tc>
        <w:tc>
          <w:tcPr>
            <w:tcW w:w="720" w:type="dxa"/>
            <w:gridSpan w:val="3"/>
            <w:shd w:val="clear" w:color="auto" w:fill="FFE0CC" w:themeFill="accent3" w:themeFillTint="33"/>
          </w:tcPr>
          <w:p w:rsidR="00A650DF" w:rsidRPr="00C220B2" w:rsidRDefault="00A650DF" w:rsidP="00B43C0E">
            <w:pPr>
              <w:jc w:val="center"/>
            </w:pPr>
            <w:r>
              <w:t>12.0</w:t>
            </w:r>
          </w:p>
        </w:tc>
        <w:tc>
          <w:tcPr>
            <w:tcW w:w="630" w:type="dxa"/>
            <w:gridSpan w:val="2"/>
            <w:shd w:val="clear" w:color="auto" w:fill="FFE0CC" w:themeFill="accent3" w:themeFillTint="33"/>
          </w:tcPr>
          <w:p w:rsidR="00A650DF" w:rsidRPr="00C220B2" w:rsidRDefault="00A650DF" w:rsidP="00B43C0E">
            <w:pPr>
              <w:jc w:val="center"/>
            </w:pPr>
            <w:r>
              <w:t>4-20</w:t>
            </w:r>
          </w:p>
        </w:tc>
        <w:tc>
          <w:tcPr>
            <w:tcW w:w="63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r w:rsidR="00A650DF" w:rsidRPr="00C220B2" w:rsidTr="00B43C0E">
        <w:trPr>
          <w:jc w:val="center"/>
        </w:trPr>
        <w:tc>
          <w:tcPr>
            <w:tcW w:w="635" w:type="dxa"/>
          </w:tcPr>
          <w:p w:rsidR="00A650DF" w:rsidRPr="00C220B2" w:rsidRDefault="00A650DF" w:rsidP="00B43C0E">
            <w:pPr>
              <w:jc w:val="center"/>
            </w:pPr>
          </w:p>
        </w:tc>
        <w:tc>
          <w:tcPr>
            <w:tcW w:w="445" w:type="dxa"/>
          </w:tcPr>
          <w:p w:rsidR="00A650DF" w:rsidRDefault="00A650DF" w:rsidP="00B43C0E">
            <w:pPr>
              <w:jc w:val="center"/>
            </w:pPr>
            <w:r>
              <w:t>28</w:t>
            </w:r>
          </w:p>
        </w:tc>
        <w:tc>
          <w:tcPr>
            <w:tcW w:w="1350" w:type="dxa"/>
          </w:tcPr>
          <w:p w:rsidR="00A650DF" w:rsidRDefault="00A650DF" w:rsidP="00B43C0E">
            <w:pPr>
              <w:jc w:val="center"/>
            </w:pPr>
            <w:r>
              <w:t>Mathematics</w:t>
            </w:r>
          </w:p>
        </w:tc>
        <w:tc>
          <w:tcPr>
            <w:tcW w:w="990" w:type="dxa"/>
          </w:tcPr>
          <w:p w:rsidR="00A650DF" w:rsidRDefault="00A650DF" w:rsidP="00B43C0E">
            <w:pPr>
              <w:jc w:val="center"/>
            </w:pPr>
            <w:r>
              <w:t>13-46.4%</w:t>
            </w:r>
          </w:p>
        </w:tc>
        <w:tc>
          <w:tcPr>
            <w:tcW w:w="990" w:type="dxa"/>
          </w:tcPr>
          <w:p w:rsidR="00A650DF" w:rsidRDefault="00A650DF" w:rsidP="00B43C0E">
            <w:pPr>
              <w:jc w:val="center"/>
            </w:pPr>
            <w:r>
              <w:t>15-53.6%</w:t>
            </w:r>
          </w:p>
        </w:tc>
        <w:tc>
          <w:tcPr>
            <w:tcW w:w="990" w:type="dxa"/>
          </w:tcPr>
          <w:p w:rsidR="00A650DF" w:rsidRPr="00C220B2" w:rsidRDefault="00A650DF" w:rsidP="00B43C0E">
            <w:pPr>
              <w:jc w:val="center"/>
            </w:pPr>
            <w:r>
              <w:t>0.0.0%</w:t>
            </w:r>
          </w:p>
        </w:tc>
        <w:tc>
          <w:tcPr>
            <w:tcW w:w="450" w:type="dxa"/>
          </w:tcPr>
          <w:p w:rsidR="00A650DF" w:rsidRPr="00C220B2" w:rsidRDefault="00A650DF" w:rsidP="00B43C0E">
            <w:pPr>
              <w:jc w:val="center"/>
            </w:pPr>
            <w:r>
              <w:t>28</w:t>
            </w:r>
          </w:p>
        </w:tc>
        <w:tc>
          <w:tcPr>
            <w:tcW w:w="1080" w:type="dxa"/>
          </w:tcPr>
          <w:p w:rsidR="00A650DF" w:rsidRPr="00C220B2" w:rsidRDefault="00A650DF" w:rsidP="00B43C0E">
            <w:pPr>
              <w:jc w:val="center"/>
            </w:pPr>
            <w:r>
              <w:t>6-21.4%</w:t>
            </w:r>
          </w:p>
        </w:tc>
        <w:tc>
          <w:tcPr>
            <w:tcW w:w="990" w:type="dxa"/>
          </w:tcPr>
          <w:p w:rsidR="00A650DF" w:rsidRPr="00C220B2" w:rsidRDefault="00A650DF" w:rsidP="00B43C0E">
            <w:pPr>
              <w:jc w:val="center"/>
            </w:pPr>
            <w:r>
              <w:t>19-67.9%</w:t>
            </w:r>
          </w:p>
        </w:tc>
        <w:tc>
          <w:tcPr>
            <w:tcW w:w="900" w:type="dxa"/>
          </w:tcPr>
          <w:p w:rsidR="00A650DF" w:rsidRPr="00C220B2" w:rsidRDefault="00A650DF" w:rsidP="00B43C0E">
            <w:pPr>
              <w:jc w:val="center"/>
            </w:pPr>
            <w:r>
              <w:t>3-10.7%</w:t>
            </w:r>
          </w:p>
        </w:tc>
        <w:tc>
          <w:tcPr>
            <w:tcW w:w="720" w:type="dxa"/>
            <w:gridSpan w:val="3"/>
            <w:shd w:val="clear" w:color="auto" w:fill="FFE0CC" w:themeFill="accent3" w:themeFillTint="33"/>
          </w:tcPr>
          <w:p w:rsidR="00A650DF" w:rsidRPr="00C220B2" w:rsidRDefault="00A650DF" w:rsidP="00B43C0E">
            <w:pPr>
              <w:jc w:val="center"/>
            </w:pPr>
            <w:r>
              <w:t>7.4</w:t>
            </w:r>
          </w:p>
        </w:tc>
        <w:tc>
          <w:tcPr>
            <w:tcW w:w="630" w:type="dxa"/>
            <w:gridSpan w:val="2"/>
            <w:shd w:val="clear" w:color="auto" w:fill="FFE0CC" w:themeFill="accent3" w:themeFillTint="33"/>
          </w:tcPr>
          <w:p w:rsidR="00A650DF" w:rsidRPr="00C220B2" w:rsidRDefault="00A650DF" w:rsidP="00B43C0E">
            <w:pPr>
              <w:jc w:val="center"/>
            </w:pPr>
            <w:r>
              <w:t>2-12</w:t>
            </w:r>
          </w:p>
        </w:tc>
        <w:tc>
          <w:tcPr>
            <w:tcW w:w="630" w:type="dxa"/>
            <w:gridSpan w:val="2"/>
            <w:shd w:val="clear" w:color="auto" w:fill="FFE0CC" w:themeFill="accent3" w:themeFillTint="33"/>
          </w:tcPr>
          <w:p w:rsidR="00A650DF" w:rsidRPr="00C220B2" w:rsidRDefault="00A650DF" w:rsidP="00B43C0E">
            <w:pPr>
              <w:jc w:val="center"/>
            </w:pPr>
            <w:proofErr w:type="spellStart"/>
            <w:r>
              <w:t>Mtg</w:t>
            </w:r>
            <w:proofErr w:type="spellEnd"/>
          </w:p>
        </w:tc>
        <w:tc>
          <w:tcPr>
            <w:tcW w:w="1260" w:type="dxa"/>
            <w:gridSpan w:val="2"/>
            <w:shd w:val="clear" w:color="auto" w:fill="FFE0CC" w:themeFill="accent3" w:themeFillTint="33"/>
          </w:tcPr>
          <w:p w:rsidR="00A650DF" w:rsidRPr="00C220B2" w:rsidRDefault="00A650DF" w:rsidP="00B43C0E">
            <w:pPr>
              <w:jc w:val="center"/>
            </w:pPr>
            <w:r>
              <w:t>50-74%</w:t>
            </w:r>
          </w:p>
        </w:tc>
      </w:tr>
    </w:tbl>
    <w:p w:rsidR="00A650DF" w:rsidRPr="00A650DF" w:rsidRDefault="00A650DF" w:rsidP="00A650DF"/>
    <w:sectPr w:rsidR="00A650DF" w:rsidRPr="00A650DF" w:rsidSect="00A650D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613" w:rsidRDefault="00574613" w:rsidP="00D87286">
      <w:pPr>
        <w:spacing w:before="0" w:after="0" w:line="240" w:lineRule="auto"/>
      </w:pPr>
      <w:r>
        <w:separator/>
      </w:r>
    </w:p>
  </w:endnote>
  <w:endnote w:type="continuationSeparator" w:id="0">
    <w:p w:rsidR="00574613" w:rsidRDefault="00574613" w:rsidP="00D872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brim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613" w:rsidRDefault="00574613">
    <w:pPr>
      <w:pStyle w:val="Footer"/>
      <w:jc w:val="right"/>
    </w:pPr>
  </w:p>
  <w:p w:rsidR="00574613" w:rsidRDefault="005746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2420765"/>
      <w:docPartObj>
        <w:docPartGallery w:val="Page Numbers (Bottom of Page)"/>
        <w:docPartUnique/>
      </w:docPartObj>
    </w:sdtPr>
    <w:sdtEndPr>
      <w:rPr>
        <w:noProof/>
      </w:rPr>
    </w:sdtEndPr>
    <w:sdtContent>
      <w:p w:rsidR="00574613" w:rsidRDefault="00574613">
        <w:pPr>
          <w:pStyle w:val="Footer"/>
          <w:jc w:val="right"/>
        </w:pPr>
        <w:r>
          <w:fldChar w:fldCharType="begin"/>
        </w:r>
        <w:r>
          <w:instrText xml:space="preserve"> PAGE   \* MERGEFORMAT </w:instrText>
        </w:r>
        <w:r>
          <w:fldChar w:fldCharType="separate"/>
        </w:r>
        <w:r w:rsidR="004E2A21">
          <w:rPr>
            <w:noProof/>
          </w:rPr>
          <w:t>48</w:t>
        </w:r>
        <w:r>
          <w:rPr>
            <w:noProof/>
          </w:rPr>
          <w:fldChar w:fldCharType="end"/>
        </w:r>
      </w:p>
    </w:sdtContent>
  </w:sdt>
  <w:p w:rsidR="00574613" w:rsidRDefault="005746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613" w:rsidRDefault="00574613" w:rsidP="00D87286">
      <w:pPr>
        <w:spacing w:before="0" w:after="0" w:line="240" w:lineRule="auto"/>
      </w:pPr>
      <w:r>
        <w:separator/>
      </w:r>
    </w:p>
  </w:footnote>
  <w:footnote w:type="continuationSeparator" w:id="0">
    <w:p w:rsidR="00574613" w:rsidRDefault="00574613" w:rsidP="00D87286">
      <w:pPr>
        <w:spacing w:before="0" w:after="0" w:line="240" w:lineRule="auto"/>
      </w:pPr>
      <w:r>
        <w:continuationSeparator/>
      </w:r>
    </w:p>
  </w:footnote>
  <w:footnote w:id="1">
    <w:p w:rsidR="00574613" w:rsidRDefault="00574613">
      <w:pPr>
        <w:pStyle w:val="FootnoteText"/>
      </w:pPr>
      <w:r>
        <w:rPr>
          <w:rStyle w:val="FootnoteReference"/>
        </w:rPr>
        <w:footnoteRef/>
      </w:r>
      <w:r>
        <w:t xml:space="preserve"> The number of estimated children was calculated from data obtained from the U.S. Census and American Community Survey.</w:t>
      </w:r>
    </w:p>
  </w:footnote>
  <w:footnote w:id="2">
    <w:p w:rsidR="00574613" w:rsidRDefault="00574613">
      <w:pPr>
        <w:pStyle w:val="FootnoteText"/>
      </w:pPr>
      <w:r>
        <w:rPr>
          <w:rStyle w:val="FootnoteReference"/>
        </w:rPr>
        <w:footnoteRef/>
      </w:r>
      <w:r>
        <w:t xml:space="preserve"> In addition, the estimated number was derived from the following equation: Total county population multiplied by the % of population under 5. This gives you the number of children less than 5 years of age. Multiplying the number of children less than 5 years by the poverty percentage equals the number of children less than 5 years of age that are in poverty. Add 10% for over-income to arrive at HS/EHS eligible.</w:t>
      </w:r>
    </w:p>
  </w:footnote>
  <w:footnote w:id="3">
    <w:p w:rsidR="00574613" w:rsidRDefault="00574613">
      <w:pPr>
        <w:pStyle w:val="FootnoteText"/>
      </w:pPr>
      <w:r>
        <w:rPr>
          <w:rStyle w:val="FootnoteReference"/>
        </w:rPr>
        <w:footnoteRef/>
      </w:r>
      <w:r>
        <w:t xml:space="preserve"> Source: South Dakota Department of Education. 2012 – 2013 was the most recent year 3</w:t>
      </w:r>
      <w:r w:rsidRPr="003667D7">
        <w:rPr>
          <w:vertAlign w:val="superscript"/>
        </w:rPr>
        <w:t>rd</w:t>
      </w:r>
      <w:r>
        <w:t xml:space="preserve"> grade assessments were administered. Because of the transition to the Smarter Balanced Assessment, no scores were recorded in the 2013 – 2014 school year.</w:t>
      </w:r>
    </w:p>
  </w:footnote>
  <w:footnote w:id="4">
    <w:p w:rsidR="00574613" w:rsidRDefault="00574613">
      <w:pPr>
        <w:pStyle w:val="FootnoteText"/>
      </w:pPr>
      <w:r>
        <w:rPr>
          <w:rStyle w:val="FootnoteReference"/>
        </w:rPr>
        <w:footnoteRef/>
      </w:r>
      <w:r>
        <w:t xml:space="preserve"> ‘-‘ denotes there were not enough students to report data publicly (n&lt;10)</w:t>
      </w:r>
    </w:p>
  </w:footnote>
  <w:footnote w:id="5">
    <w:p w:rsidR="00574613" w:rsidRDefault="00574613">
      <w:pPr>
        <w:pStyle w:val="FootnoteText"/>
      </w:pPr>
      <w:r>
        <w:rPr>
          <w:rStyle w:val="FootnoteReference"/>
        </w:rPr>
        <w:footnoteRef/>
      </w:r>
      <w:r>
        <w:t xml:space="preserve"> TREC’s Birth to Three partners are Black Hills Birth to Three Connections, Northwest Area Birth to Three Connections, and Oglala Sioux Tribe Early Intervention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77DFC"/>
    <w:multiLevelType w:val="hybridMultilevel"/>
    <w:tmpl w:val="EA2C4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26C65"/>
    <w:multiLevelType w:val="hybridMultilevel"/>
    <w:tmpl w:val="33A24098"/>
    <w:lvl w:ilvl="0" w:tplc="B4ACB7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32BD8"/>
    <w:multiLevelType w:val="hybridMultilevel"/>
    <w:tmpl w:val="B6904C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9431905"/>
    <w:multiLevelType w:val="hybridMultilevel"/>
    <w:tmpl w:val="DC2AB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6383190"/>
    <w:multiLevelType w:val="hybridMultilevel"/>
    <w:tmpl w:val="66FEB464"/>
    <w:lvl w:ilvl="0" w:tplc="B4ACB7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6C6949"/>
    <w:multiLevelType w:val="hybridMultilevel"/>
    <w:tmpl w:val="66FEB464"/>
    <w:lvl w:ilvl="0" w:tplc="B4ACB71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D763DF"/>
    <w:multiLevelType w:val="hybridMultilevel"/>
    <w:tmpl w:val="6B784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BE12DD6"/>
    <w:multiLevelType w:val="hybridMultilevel"/>
    <w:tmpl w:val="CBC86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015751A"/>
    <w:multiLevelType w:val="hybridMultilevel"/>
    <w:tmpl w:val="777EB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FF176B"/>
    <w:multiLevelType w:val="hybridMultilevel"/>
    <w:tmpl w:val="35149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B1C01EA"/>
    <w:multiLevelType w:val="hybridMultilevel"/>
    <w:tmpl w:val="75F48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3917959"/>
    <w:multiLevelType w:val="hybridMultilevel"/>
    <w:tmpl w:val="DDD60F4E"/>
    <w:lvl w:ilvl="0" w:tplc="27181CD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517D69"/>
    <w:multiLevelType w:val="hybridMultilevel"/>
    <w:tmpl w:val="ECD43A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72FE4466"/>
    <w:multiLevelType w:val="hybridMultilevel"/>
    <w:tmpl w:val="1BFCF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772F2550"/>
    <w:multiLevelType w:val="hybridMultilevel"/>
    <w:tmpl w:val="2A740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7333D1"/>
    <w:multiLevelType w:val="hybridMultilevel"/>
    <w:tmpl w:val="D53E4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7F8D293E"/>
    <w:multiLevelType w:val="hybridMultilevel"/>
    <w:tmpl w:val="62D63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5"/>
  </w:num>
  <w:num w:numId="4">
    <w:abstractNumId w:val="4"/>
  </w:num>
  <w:num w:numId="5">
    <w:abstractNumId w:val="1"/>
  </w:num>
  <w:num w:numId="6">
    <w:abstractNumId w:val="2"/>
  </w:num>
  <w:num w:numId="7">
    <w:abstractNumId w:val="3"/>
  </w:num>
  <w:num w:numId="8">
    <w:abstractNumId w:val="12"/>
  </w:num>
  <w:num w:numId="9">
    <w:abstractNumId w:val="10"/>
  </w:num>
  <w:num w:numId="10">
    <w:abstractNumId w:val="6"/>
  </w:num>
  <w:num w:numId="11">
    <w:abstractNumId w:val="13"/>
  </w:num>
  <w:num w:numId="12">
    <w:abstractNumId w:val="16"/>
  </w:num>
  <w:num w:numId="13">
    <w:abstractNumId w:val="17"/>
  </w:num>
  <w:num w:numId="14">
    <w:abstractNumId w:val="7"/>
  </w:num>
  <w:num w:numId="15">
    <w:abstractNumId w:val="9"/>
  </w:num>
  <w:num w:numId="16">
    <w:abstractNumId w:val="14"/>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5F4"/>
    <w:rsid w:val="00014C1F"/>
    <w:rsid w:val="00041A56"/>
    <w:rsid w:val="000A5A56"/>
    <w:rsid w:val="000E6369"/>
    <w:rsid w:val="000F2871"/>
    <w:rsid w:val="000F3DD9"/>
    <w:rsid w:val="00101B9B"/>
    <w:rsid w:val="00141F94"/>
    <w:rsid w:val="00146FF5"/>
    <w:rsid w:val="00150861"/>
    <w:rsid w:val="0015587E"/>
    <w:rsid w:val="00157D9A"/>
    <w:rsid w:val="00163077"/>
    <w:rsid w:val="00163335"/>
    <w:rsid w:val="00167D5D"/>
    <w:rsid w:val="00175B75"/>
    <w:rsid w:val="0018441C"/>
    <w:rsid w:val="00187AC8"/>
    <w:rsid w:val="00193B30"/>
    <w:rsid w:val="00193EA8"/>
    <w:rsid w:val="00197D29"/>
    <w:rsid w:val="001A698D"/>
    <w:rsid w:val="001A7F7B"/>
    <w:rsid w:val="001C19FB"/>
    <w:rsid w:val="001D49EE"/>
    <w:rsid w:val="001E6C5B"/>
    <w:rsid w:val="002108AA"/>
    <w:rsid w:val="00210981"/>
    <w:rsid w:val="00211C9A"/>
    <w:rsid w:val="002154CC"/>
    <w:rsid w:val="00221735"/>
    <w:rsid w:val="00221D37"/>
    <w:rsid w:val="002238F9"/>
    <w:rsid w:val="00241D41"/>
    <w:rsid w:val="0024350E"/>
    <w:rsid w:val="00244030"/>
    <w:rsid w:val="00244B2D"/>
    <w:rsid w:val="00270734"/>
    <w:rsid w:val="00280048"/>
    <w:rsid w:val="00285374"/>
    <w:rsid w:val="0029321A"/>
    <w:rsid w:val="00297DEF"/>
    <w:rsid w:val="002A2544"/>
    <w:rsid w:val="002D280B"/>
    <w:rsid w:val="002D6497"/>
    <w:rsid w:val="002D73DC"/>
    <w:rsid w:val="0032130B"/>
    <w:rsid w:val="003667D7"/>
    <w:rsid w:val="00372D10"/>
    <w:rsid w:val="003757B0"/>
    <w:rsid w:val="00380DC1"/>
    <w:rsid w:val="003B59E1"/>
    <w:rsid w:val="003C116F"/>
    <w:rsid w:val="003E33A3"/>
    <w:rsid w:val="003E788C"/>
    <w:rsid w:val="003F18FB"/>
    <w:rsid w:val="004051EF"/>
    <w:rsid w:val="004144E0"/>
    <w:rsid w:val="00415CA5"/>
    <w:rsid w:val="00431997"/>
    <w:rsid w:val="00432EE4"/>
    <w:rsid w:val="00457811"/>
    <w:rsid w:val="00460459"/>
    <w:rsid w:val="00476593"/>
    <w:rsid w:val="0048650B"/>
    <w:rsid w:val="0049067F"/>
    <w:rsid w:val="0049225C"/>
    <w:rsid w:val="004A51AA"/>
    <w:rsid w:val="004B06BA"/>
    <w:rsid w:val="004B48F3"/>
    <w:rsid w:val="004B6CB2"/>
    <w:rsid w:val="004C4D70"/>
    <w:rsid w:val="004C6B2D"/>
    <w:rsid w:val="004E28C7"/>
    <w:rsid w:val="004E291E"/>
    <w:rsid w:val="004E2A21"/>
    <w:rsid w:val="004E3442"/>
    <w:rsid w:val="004F0347"/>
    <w:rsid w:val="004F795C"/>
    <w:rsid w:val="0051362E"/>
    <w:rsid w:val="00517C6A"/>
    <w:rsid w:val="005530D6"/>
    <w:rsid w:val="00562771"/>
    <w:rsid w:val="00574613"/>
    <w:rsid w:val="00587206"/>
    <w:rsid w:val="005918D7"/>
    <w:rsid w:val="005B085D"/>
    <w:rsid w:val="0061198A"/>
    <w:rsid w:val="00612950"/>
    <w:rsid w:val="0062275F"/>
    <w:rsid w:val="0063038E"/>
    <w:rsid w:val="00640B52"/>
    <w:rsid w:val="00652775"/>
    <w:rsid w:val="00676983"/>
    <w:rsid w:val="00676BAB"/>
    <w:rsid w:val="00681A85"/>
    <w:rsid w:val="0068552A"/>
    <w:rsid w:val="006935E2"/>
    <w:rsid w:val="006A59A7"/>
    <w:rsid w:val="006A5F7F"/>
    <w:rsid w:val="006C55EA"/>
    <w:rsid w:val="006C585A"/>
    <w:rsid w:val="006D44DB"/>
    <w:rsid w:val="006F2C87"/>
    <w:rsid w:val="006F6E0A"/>
    <w:rsid w:val="00703692"/>
    <w:rsid w:val="00716BA6"/>
    <w:rsid w:val="00722286"/>
    <w:rsid w:val="00725DCE"/>
    <w:rsid w:val="00731864"/>
    <w:rsid w:val="00732BA9"/>
    <w:rsid w:val="0073482A"/>
    <w:rsid w:val="00753B87"/>
    <w:rsid w:val="00755F53"/>
    <w:rsid w:val="00792FE8"/>
    <w:rsid w:val="007A191E"/>
    <w:rsid w:val="007A2299"/>
    <w:rsid w:val="007A5CDD"/>
    <w:rsid w:val="007B0643"/>
    <w:rsid w:val="007B1E80"/>
    <w:rsid w:val="007C0BC7"/>
    <w:rsid w:val="007D65D0"/>
    <w:rsid w:val="007E558F"/>
    <w:rsid w:val="007E72D8"/>
    <w:rsid w:val="007F6698"/>
    <w:rsid w:val="008124A3"/>
    <w:rsid w:val="008149EF"/>
    <w:rsid w:val="0084667C"/>
    <w:rsid w:val="00863074"/>
    <w:rsid w:val="00865A33"/>
    <w:rsid w:val="00870BEE"/>
    <w:rsid w:val="00873DBA"/>
    <w:rsid w:val="00894FC0"/>
    <w:rsid w:val="008A1F52"/>
    <w:rsid w:val="008A688D"/>
    <w:rsid w:val="008B42E9"/>
    <w:rsid w:val="008C32D8"/>
    <w:rsid w:val="00910C71"/>
    <w:rsid w:val="00922269"/>
    <w:rsid w:val="00926B0D"/>
    <w:rsid w:val="009412B2"/>
    <w:rsid w:val="00941829"/>
    <w:rsid w:val="00961C0C"/>
    <w:rsid w:val="00973277"/>
    <w:rsid w:val="0099422C"/>
    <w:rsid w:val="009A3BD8"/>
    <w:rsid w:val="009B0524"/>
    <w:rsid w:val="009B1DF3"/>
    <w:rsid w:val="009E3000"/>
    <w:rsid w:val="00A265F4"/>
    <w:rsid w:val="00A30E99"/>
    <w:rsid w:val="00A353CB"/>
    <w:rsid w:val="00A36A0C"/>
    <w:rsid w:val="00A43CBF"/>
    <w:rsid w:val="00A44D9B"/>
    <w:rsid w:val="00A55528"/>
    <w:rsid w:val="00A56C90"/>
    <w:rsid w:val="00A650DF"/>
    <w:rsid w:val="00A762ED"/>
    <w:rsid w:val="00A8559C"/>
    <w:rsid w:val="00A90A02"/>
    <w:rsid w:val="00AB156C"/>
    <w:rsid w:val="00AB19A5"/>
    <w:rsid w:val="00AD1BB6"/>
    <w:rsid w:val="00AD1FD2"/>
    <w:rsid w:val="00AE02D5"/>
    <w:rsid w:val="00AE5CDD"/>
    <w:rsid w:val="00B0031F"/>
    <w:rsid w:val="00B07B86"/>
    <w:rsid w:val="00B15269"/>
    <w:rsid w:val="00B25964"/>
    <w:rsid w:val="00B26CFA"/>
    <w:rsid w:val="00B33D01"/>
    <w:rsid w:val="00B43C0E"/>
    <w:rsid w:val="00B46A41"/>
    <w:rsid w:val="00B675F8"/>
    <w:rsid w:val="00B67DAF"/>
    <w:rsid w:val="00B7750E"/>
    <w:rsid w:val="00B829C5"/>
    <w:rsid w:val="00BE056F"/>
    <w:rsid w:val="00BE059D"/>
    <w:rsid w:val="00BE50A4"/>
    <w:rsid w:val="00C00616"/>
    <w:rsid w:val="00C02F0D"/>
    <w:rsid w:val="00C13EC7"/>
    <w:rsid w:val="00C1712A"/>
    <w:rsid w:val="00C17EBF"/>
    <w:rsid w:val="00C372D5"/>
    <w:rsid w:val="00C40600"/>
    <w:rsid w:val="00C90BB1"/>
    <w:rsid w:val="00C936CE"/>
    <w:rsid w:val="00C96CC6"/>
    <w:rsid w:val="00CB2818"/>
    <w:rsid w:val="00CC5906"/>
    <w:rsid w:val="00CC7958"/>
    <w:rsid w:val="00CE0475"/>
    <w:rsid w:val="00CE3C14"/>
    <w:rsid w:val="00CF70CE"/>
    <w:rsid w:val="00D024D4"/>
    <w:rsid w:val="00D06BD6"/>
    <w:rsid w:val="00D32E8B"/>
    <w:rsid w:val="00D567D6"/>
    <w:rsid w:val="00D57E0D"/>
    <w:rsid w:val="00D7411E"/>
    <w:rsid w:val="00D7657D"/>
    <w:rsid w:val="00D80E1D"/>
    <w:rsid w:val="00D870E5"/>
    <w:rsid w:val="00D87286"/>
    <w:rsid w:val="00D94067"/>
    <w:rsid w:val="00DB6D17"/>
    <w:rsid w:val="00DC2AB5"/>
    <w:rsid w:val="00DE1F6F"/>
    <w:rsid w:val="00E02EDE"/>
    <w:rsid w:val="00E058AD"/>
    <w:rsid w:val="00E05D32"/>
    <w:rsid w:val="00E070FD"/>
    <w:rsid w:val="00E20C5C"/>
    <w:rsid w:val="00E42B6D"/>
    <w:rsid w:val="00E4338C"/>
    <w:rsid w:val="00E60C3B"/>
    <w:rsid w:val="00E71A8B"/>
    <w:rsid w:val="00E82E27"/>
    <w:rsid w:val="00EA3390"/>
    <w:rsid w:val="00EA3FC8"/>
    <w:rsid w:val="00EA75E9"/>
    <w:rsid w:val="00EB579C"/>
    <w:rsid w:val="00EC03E8"/>
    <w:rsid w:val="00ED2179"/>
    <w:rsid w:val="00ED3AEC"/>
    <w:rsid w:val="00ED7671"/>
    <w:rsid w:val="00EE3994"/>
    <w:rsid w:val="00EE7CAF"/>
    <w:rsid w:val="00F000B2"/>
    <w:rsid w:val="00F05C26"/>
    <w:rsid w:val="00F14D65"/>
    <w:rsid w:val="00F21C1F"/>
    <w:rsid w:val="00F229C7"/>
    <w:rsid w:val="00F24E40"/>
    <w:rsid w:val="00F2622C"/>
    <w:rsid w:val="00F55BED"/>
    <w:rsid w:val="00F60D1F"/>
    <w:rsid w:val="00F75587"/>
    <w:rsid w:val="00F76224"/>
    <w:rsid w:val="00F863C3"/>
    <w:rsid w:val="00F86E10"/>
    <w:rsid w:val="00F9634E"/>
    <w:rsid w:val="00FA1E7D"/>
    <w:rsid w:val="00FA4CED"/>
    <w:rsid w:val="00FA62CE"/>
    <w:rsid w:val="00FD056B"/>
    <w:rsid w:val="00FD361D"/>
    <w:rsid w:val="00FD79CA"/>
    <w:rsid w:val="00FE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B0D"/>
    <w:rPr>
      <w:sz w:val="20"/>
      <w:szCs w:val="20"/>
    </w:rPr>
  </w:style>
  <w:style w:type="paragraph" w:styleId="Heading1">
    <w:name w:val="heading 1"/>
    <w:basedOn w:val="Normal"/>
    <w:next w:val="Normal"/>
    <w:link w:val="Heading1Char"/>
    <w:uiPriority w:val="9"/>
    <w:qFormat/>
    <w:rsid w:val="00926B0D"/>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26B0D"/>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26B0D"/>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Heading4">
    <w:name w:val="heading 4"/>
    <w:basedOn w:val="Normal"/>
    <w:next w:val="Normal"/>
    <w:link w:val="Heading4Char"/>
    <w:uiPriority w:val="9"/>
    <w:semiHidden/>
    <w:unhideWhenUsed/>
    <w:qFormat/>
    <w:rsid w:val="00926B0D"/>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Heading5">
    <w:name w:val="heading 5"/>
    <w:basedOn w:val="Normal"/>
    <w:next w:val="Normal"/>
    <w:link w:val="Heading5Char"/>
    <w:uiPriority w:val="9"/>
    <w:semiHidden/>
    <w:unhideWhenUsed/>
    <w:qFormat/>
    <w:rsid w:val="00926B0D"/>
    <w:pPr>
      <w:pBdr>
        <w:bottom w:val="single" w:sz="6" w:space="1" w:color="94C600" w:themeColor="accent1"/>
      </w:pBdr>
      <w:spacing w:before="300" w:after="0"/>
      <w:outlineLvl w:val="4"/>
    </w:pPr>
    <w:rPr>
      <w:caps/>
      <w:color w:val="6E9400" w:themeColor="accent1" w:themeShade="BF"/>
      <w:spacing w:val="10"/>
      <w:sz w:val="22"/>
      <w:szCs w:val="22"/>
    </w:rPr>
  </w:style>
  <w:style w:type="paragraph" w:styleId="Heading6">
    <w:name w:val="heading 6"/>
    <w:basedOn w:val="Normal"/>
    <w:next w:val="Normal"/>
    <w:link w:val="Heading6Char"/>
    <w:uiPriority w:val="9"/>
    <w:semiHidden/>
    <w:unhideWhenUsed/>
    <w:qFormat/>
    <w:rsid w:val="00926B0D"/>
    <w:pPr>
      <w:pBdr>
        <w:bottom w:val="dotted" w:sz="6" w:space="1" w:color="94C600" w:themeColor="accent1"/>
      </w:pBdr>
      <w:spacing w:before="300" w:after="0"/>
      <w:outlineLvl w:val="5"/>
    </w:pPr>
    <w:rPr>
      <w:caps/>
      <w:color w:val="6E9400" w:themeColor="accent1" w:themeShade="BF"/>
      <w:spacing w:val="10"/>
      <w:sz w:val="22"/>
      <w:szCs w:val="22"/>
    </w:rPr>
  </w:style>
  <w:style w:type="paragraph" w:styleId="Heading7">
    <w:name w:val="heading 7"/>
    <w:basedOn w:val="Normal"/>
    <w:next w:val="Normal"/>
    <w:link w:val="Heading7Char"/>
    <w:uiPriority w:val="9"/>
    <w:semiHidden/>
    <w:unhideWhenUsed/>
    <w:qFormat/>
    <w:rsid w:val="00926B0D"/>
    <w:pPr>
      <w:spacing w:before="300" w:after="0"/>
      <w:outlineLvl w:val="6"/>
    </w:pPr>
    <w:rPr>
      <w:caps/>
      <w:color w:val="6E9400" w:themeColor="accent1" w:themeShade="BF"/>
      <w:spacing w:val="10"/>
      <w:sz w:val="22"/>
      <w:szCs w:val="22"/>
    </w:rPr>
  </w:style>
  <w:style w:type="paragraph" w:styleId="Heading8">
    <w:name w:val="heading 8"/>
    <w:basedOn w:val="Normal"/>
    <w:next w:val="Normal"/>
    <w:link w:val="Heading8Char"/>
    <w:uiPriority w:val="9"/>
    <w:semiHidden/>
    <w:unhideWhenUsed/>
    <w:qFormat/>
    <w:rsid w:val="00926B0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6B0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5F4"/>
    <w:rPr>
      <w:rFonts w:ascii="Tahoma" w:hAnsi="Tahoma" w:cs="Tahoma"/>
      <w:sz w:val="16"/>
      <w:szCs w:val="16"/>
    </w:rPr>
  </w:style>
  <w:style w:type="paragraph" w:styleId="NoSpacing">
    <w:name w:val="No Spacing"/>
    <w:basedOn w:val="Normal"/>
    <w:link w:val="NoSpacingChar"/>
    <w:uiPriority w:val="1"/>
    <w:qFormat/>
    <w:rsid w:val="00926B0D"/>
    <w:pPr>
      <w:spacing w:before="0" w:after="0" w:line="240" w:lineRule="auto"/>
    </w:pPr>
  </w:style>
  <w:style w:type="character" w:customStyle="1" w:styleId="NoSpacingChar">
    <w:name w:val="No Spacing Char"/>
    <w:basedOn w:val="DefaultParagraphFont"/>
    <w:link w:val="NoSpacing"/>
    <w:uiPriority w:val="1"/>
    <w:rsid w:val="00926B0D"/>
    <w:rPr>
      <w:sz w:val="20"/>
      <w:szCs w:val="20"/>
    </w:rPr>
  </w:style>
  <w:style w:type="character" w:customStyle="1" w:styleId="Heading1Char">
    <w:name w:val="Heading 1 Char"/>
    <w:basedOn w:val="DefaultParagraphFont"/>
    <w:link w:val="Heading1"/>
    <w:uiPriority w:val="9"/>
    <w:rsid w:val="00926B0D"/>
    <w:rPr>
      <w:b/>
      <w:bCs/>
      <w:caps/>
      <w:color w:val="FFFFFF" w:themeColor="background1"/>
      <w:spacing w:val="15"/>
      <w:shd w:val="clear" w:color="auto" w:fill="94C600" w:themeFill="accent1"/>
    </w:rPr>
  </w:style>
  <w:style w:type="character" w:customStyle="1" w:styleId="Heading2Char">
    <w:name w:val="Heading 2 Char"/>
    <w:basedOn w:val="DefaultParagraphFont"/>
    <w:link w:val="Heading2"/>
    <w:uiPriority w:val="9"/>
    <w:rsid w:val="00926B0D"/>
    <w:rPr>
      <w:caps/>
      <w:spacing w:val="15"/>
      <w:shd w:val="clear" w:color="auto" w:fill="EFFFC0" w:themeFill="accent1" w:themeFillTint="33"/>
    </w:rPr>
  </w:style>
  <w:style w:type="character" w:customStyle="1" w:styleId="Heading3Char">
    <w:name w:val="Heading 3 Char"/>
    <w:basedOn w:val="DefaultParagraphFont"/>
    <w:link w:val="Heading3"/>
    <w:uiPriority w:val="9"/>
    <w:rsid w:val="00926B0D"/>
    <w:rPr>
      <w:caps/>
      <w:color w:val="496200" w:themeColor="accent1" w:themeShade="7F"/>
      <w:spacing w:val="15"/>
    </w:rPr>
  </w:style>
  <w:style w:type="character" w:customStyle="1" w:styleId="Heading4Char">
    <w:name w:val="Heading 4 Char"/>
    <w:basedOn w:val="DefaultParagraphFont"/>
    <w:link w:val="Heading4"/>
    <w:uiPriority w:val="9"/>
    <w:semiHidden/>
    <w:rsid w:val="00926B0D"/>
    <w:rPr>
      <w:caps/>
      <w:color w:val="6E9400" w:themeColor="accent1" w:themeShade="BF"/>
      <w:spacing w:val="10"/>
    </w:rPr>
  </w:style>
  <w:style w:type="character" w:customStyle="1" w:styleId="Heading5Char">
    <w:name w:val="Heading 5 Char"/>
    <w:basedOn w:val="DefaultParagraphFont"/>
    <w:link w:val="Heading5"/>
    <w:uiPriority w:val="9"/>
    <w:semiHidden/>
    <w:rsid w:val="00926B0D"/>
    <w:rPr>
      <w:caps/>
      <w:color w:val="6E9400" w:themeColor="accent1" w:themeShade="BF"/>
      <w:spacing w:val="10"/>
    </w:rPr>
  </w:style>
  <w:style w:type="character" w:customStyle="1" w:styleId="Heading6Char">
    <w:name w:val="Heading 6 Char"/>
    <w:basedOn w:val="DefaultParagraphFont"/>
    <w:link w:val="Heading6"/>
    <w:uiPriority w:val="9"/>
    <w:semiHidden/>
    <w:rsid w:val="00926B0D"/>
    <w:rPr>
      <w:caps/>
      <w:color w:val="6E9400" w:themeColor="accent1" w:themeShade="BF"/>
      <w:spacing w:val="10"/>
    </w:rPr>
  </w:style>
  <w:style w:type="character" w:customStyle="1" w:styleId="Heading7Char">
    <w:name w:val="Heading 7 Char"/>
    <w:basedOn w:val="DefaultParagraphFont"/>
    <w:link w:val="Heading7"/>
    <w:uiPriority w:val="9"/>
    <w:semiHidden/>
    <w:rsid w:val="00926B0D"/>
    <w:rPr>
      <w:caps/>
      <w:color w:val="6E9400" w:themeColor="accent1" w:themeShade="BF"/>
      <w:spacing w:val="10"/>
    </w:rPr>
  </w:style>
  <w:style w:type="character" w:customStyle="1" w:styleId="Heading8Char">
    <w:name w:val="Heading 8 Char"/>
    <w:basedOn w:val="DefaultParagraphFont"/>
    <w:link w:val="Heading8"/>
    <w:uiPriority w:val="9"/>
    <w:semiHidden/>
    <w:rsid w:val="00926B0D"/>
    <w:rPr>
      <w:caps/>
      <w:spacing w:val="10"/>
      <w:sz w:val="18"/>
      <w:szCs w:val="18"/>
    </w:rPr>
  </w:style>
  <w:style w:type="character" w:customStyle="1" w:styleId="Heading9Char">
    <w:name w:val="Heading 9 Char"/>
    <w:basedOn w:val="DefaultParagraphFont"/>
    <w:link w:val="Heading9"/>
    <w:uiPriority w:val="9"/>
    <w:semiHidden/>
    <w:rsid w:val="00926B0D"/>
    <w:rPr>
      <w:i/>
      <w:caps/>
      <w:spacing w:val="10"/>
      <w:sz w:val="18"/>
      <w:szCs w:val="18"/>
    </w:rPr>
  </w:style>
  <w:style w:type="paragraph" w:styleId="Title">
    <w:name w:val="Title"/>
    <w:basedOn w:val="Normal"/>
    <w:next w:val="Normal"/>
    <w:link w:val="TitleChar"/>
    <w:uiPriority w:val="10"/>
    <w:qFormat/>
    <w:rsid w:val="00926B0D"/>
    <w:pPr>
      <w:spacing w:before="720"/>
    </w:pPr>
    <w:rPr>
      <w:caps/>
      <w:color w:val="94C600" w:themeColor="accent1"/>
      <w:spacing w:val="10"/>
      <w:kern w:val="28"/>
      <w:sz w:val="52"/>
      <w:szCs w:val="52"/>
    </w:rPr>
  </w:style>
  <w:style w:type="character" w:customStyle="1" w:styleId="TitleChar">
    <w:name w:val="Title Char"/>
    <w:basedOn w:val="DefaultParagraphFont"/>
    <w:link w:val="Title"/>
    <w:uiPriority w:val="10"/>
    <w:rsid w:val="00926B0D"/>
    <w:rPr>
      <w:caps/>
      <w:color w:val="94C600" w:themeColor="accent1"/>
      <w:spacing w:val="10"/>
      <w:kern w:val="28"/>
      <w:sz w:val="52"/>
      <w:szCs w:val="52"/>
    </w:rPr>
  </w:style>
  <w:style w:type="paragraph" w:styleId="Subtitle">
    <w:name w:val="Subtitle"/>
    <w:basedOn w:val="Normal"/>
    <w:next w:val="Normal"/>
    <w:link w:val="SubtitleChar"/>
    <w:uiPriority w:val="11"/>
    <w:qFormat/>
    <w:rsid w:val="00926B0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6B0D"/>
    <w:rPr>
      <w:caps/>
      <w:color w:val="595959" w:themeColor="text1" w:themeTint="A6"/>
      <w:spacing w:val="10"/>
      <w:sz w:val="24"/>
      <w:szCs w:val="24"/>
    </w:rPr>
  </w:style>
  <w:style w:type="character" w:styleId="Strong">
    <w:name w:val="Strong"/>
    <w:uiPriority w:val="22"/>
    <w:qFormat/>
    <w:rsid w:val="00926B0D"/>
    <w:rPr>
      <w:b/>
      <w:bCs/>
    </w:rPr>
  </w:style>
  <w:style w:type="character" w:styleId="Emphasis">
    <w:name w:val="Emphasis"/>
    <w:uiPriority w:val="20"/>
    <w:qFormat/>
    <w:rsid w:val="00926B0D"/>
    <w:rPr>
      <w:caps/>
      <w:color w:val="496200" w:themeColor="accent1" w:themeShade="7F"/>
      <w:spacing w:val="5"/>
    </w:rPr>
  </w:style>
  <w:style w:type="paragraph" w:styleId="ListParagraph">
    <w:name w:val="List Paragraph"/>
    <w:basedOn w:val="Normal"/>
    <w:uiPriority w:val="34"/>
    <w:qFormat/>
    <w:rsid w:val="00926B0D"/>
    <w:pPr>
      <w:ind w:left="720"/>
      <w:contextualSpacing/>
    </w:pPr>
  </w:style>
  <w:style w:type="paragraph" w:styleId="Quote">
    <w:name w:val="Quote"/>
    <w:basedOn w:val="Normal"/>
    <w:next w:val="Normal"/>
    <w:link w:val="QuoteChar"/>
    <w:uiPriority w:val="29"/>
    <w:qFormat/>
    <w:rsid w:val="00926B0D"/>
    <w:rPr>
      <w:i/>
      <w:iCs/>
    </w:rPr>
  </w:style>
  <w:style w:type="character" w:customStyle="1" w:styleId="QuoteChar">
    <w:name w:val="Quote Char"/>
    <w:basedOn w:val="DefaultParagraphFont"/>
    <w:link w:val="Quote"/>
    <w:uiPriority w:val="29"/>
    <w:rsid w:val="00926B0D"/>
    <w:rPr>
      <w:i/>
      <w:iCs/>
      <w:sz w:val="20"/>
      <w:szCs w:val="20"/>
    </w:rPr>
  </w:style>
  <w:style w:type="paragraph" w:styleId="IntenseQuote">
    <w:name w:val="Intense Quote"/>
    <w:basedOn w:val="Normal"/>
    <w:next w:val="Normal"/>
    <w:link w:val="IntenseQuoteChar"/>
    <w:uiPriority w:val="30"/>
    <w:qFormat/>
    <w:rsid w:val="00926B0D"/>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IntenseQuoteChar">
    <w:name w:val="Intense Quote Char"/>
    <w:basedOn w:val="DefaultParagraphFont"/>
    <w:link w:val="IntenseQuote"/>
    <w:uiPriority w:val="30"/>
    <w:rsid w:val="00926B0D"/>
    <w:rPr>
      <w:i/>
      <w:iCs/>
      <w:color w:val="94C600" w:themeColor="accent1"/>
      <w:sz w:val="20"/>
      <w:szCs w:val="20"/>
    </w:rPr>
  </w:style>
  <w:style w:type="character" w:styleId="SubtleEmphasis">
    <w:name w:val="Subtle Emphasis"/>
    <w:uiPriority w:val="19"/>
    <w:qFormat/>
    <w:rsid w:val="00926B0D"/>
    <w:rPr>
      <w:i/>
      <w:iCs/>
      <w:color w:val="496200" w:themeColor="accent1" w:themeShade="7F"/>
    </w:rPr>
  </w:style>
  <w:style w:type="character" w:styleId="IntenseEmphasis">
    <w:name w:val="Intense Emphasis"/>
    <w:uiPriority w:val="21"/>
    <w:qFormat/>
    <w:rsid w:val="00926B0D"/>
    <w:rPr>
      <w:b/>
      <w:bCs/>
      <w:caps/>
      <w:color w:val="496200" w:themeColor="accent1" w:themeShade="7F"/>
      <w:spacing w:val="10"/>
    </w:rPr>
  </w:style>
  <w:style w:type="character" w:styleId="SubtleReference">
    <w:name w:val="Subtle Reference"/>
    <w:uiPriority w:val="31"/>
    <w:qFormat/>
    <w:rsid w:val="00926B0D"/>
    <w:rPr>
      <w:b/>
      <w:bCs/>
      <w:color w:val="94C600" w:themeColor="accent1"/>
    </w:rPr>
  </w:style>
  <w:style w:type="character" w:styleId="IntenseReference">
    <w:name w:val="Intense Reference"/>
    <w:uiPriority w:val="32"/>
    <w:qFormat/>
    <w:rsid w:val="00926B0D"/>
    <w:rPr>
      <w:b/>
      <w:bCs/>
      <w:i/>
      <w:iCs/>
      <w:caps/>
      <w:color w:val="94C600" w:themeColor="accent1"/>
    </w:rPr>
  </w:style>
  <w:style w:type="character" w:styleId="BookTitle">
    <w:name w:val="Book Title"/>
    <w:uiPriority w:val="33"/>
    <w:qFormat/>
    <w:rsid w:val="00926B0D"/>
    <w:rPr>
      <w:b/>
      <w:bCs/>
      <w:i/>
      <w:iCs/>
      <w:spacing w:val="9"/>
    </w:rPr>
  </w:style>
  <w:style w:type="paragraph" w:styleId="TOCHeading">
    <w:name w:val="TOC Heading"/>
    <w:basedOn w:val="Heading1"/>
    <w:next w:val="Normal"/>
    <w:uiPriority w:val="39"/>
    <w:semiHidden/>
    <w:unhideWhenUsed/>
    <w:qFormat/>
    <w:rsid w:val="00926B0D"/>
    <w:pPr>
      <w:outlineLvl w:val="9"/>
    </w:pPr>
    <w:rPr>
      <w:lang w:bidi="en-US"/>
    </w:rPr>
  </w:style>
  <w:style w:type="paragraph" w:styleId="Caption">
    <w:name w:val="caption"/>
    <w:basedOn w:val="Normal"/>
    <w:next w:val="Normal"/>
    <w:uiPriority w:val="35"/>
    <w:semiHidden/>
    <w:unhideWhenUsed/>
    <w:qFormat/>
    <w:rsid w:val="00926B0D"/>
    <w:rPr>
      <w:b/>
      <w:bCs/>
      <w:color w:val="6E9400" w:themeColor="accent1" w:themeShade="BF"/>
      <w:sz w:val="16"/>
      <w:szCs w:val="16"/>
    </w:rPr>
  </w:style>
  <w:style w:type="character" w:styleId="CommentReference">
    <w:name w:val="annotation reference"/>
    <w:basedOn w:val="DefaultParagraphFont"/>
    <w:uiPriority w:val="99"/>
    <w:semiHidden/>
    <w:unhideWhenUsed/>
    <w:rsid w:val="00CE3C14"/>
    <w:rPr>
      <w:sz w:val="16"/>
      <w:szCs w:val="16"/>
    </w:rPr>
  </w:style>
  <w:style w:type="paragraph" w:styleId="CommentText">
    <w:name w:val="annotation text"/>
    <w:basedOn w:val="Normal"/>
    <w:link w:val="CommentTextChar"/>
    <w:uiPriority w:val="99"/>
    <w:semiHidden/>
    <w:unhideWhenUsed/>
    <w:rsid w:val="00CE3C14"/>
    <w:pPr>
      <w:spacing w:line="240" w:lineRule="auto"/>
    </w:pPr>
  </w:style>
  <w:style w:type="character" w:customStyle="1" w:styleId="CommentTextChar">
    <w:name w:val="Comment Text Char"/>
    <w:basedOn w:val="DefaultParagraphFont"/>
    <w:link w:val="CommentText"/>
    <w:uiPriority w:val="99"/>
    <w:semiHidden/>
    <w:rsid w:val="00CE3C14"/>
    <w:rPr>
      <w:sz w:val="20"/>
      <w:szCs w:val="20"/>
    </w:rPr>
  </w:style>
  <w:style w:type="paragraph" w:styleId="CommentSubject">
    <w:name w:val="annotation subject"/>
    <w:basedOn w:val="CommentText"/>
    <w:next w:val="CommentText"/>
    <w:link w:val="CommentSubjectChar"/>
    <w:uiPriority w:val="99"/>
    <w:semiHidden/>
    <w:unhideWhenUsed/>
    <w:rsid w:val="00CE3C14"/>
    <w:rPr>
      <w:b/>
      <w:bCs/>
    </w:rPr>
  </w:style>
  <w:style w:type="character" w:customStyle="1" w:styleId="CommentSubjectChar">
    <w:name w:val="Comment Subject Char"/>
    <w:basedOn w:val="CommentTextChar"/>
    <w:link w:val="CommentSubject"/>
    <w:uiPriority w:val="99"/>
    <w:semiHidden/>
    <w:rsid w:val="00CE3C14"/>
    <w:rPr>
      <w:b/>
      <w:bCs/>
      <w:sz w:val="20"/>
      <w:szCs w:val="20"/>
    </w:rPr>
  </w:style>
  <w:style w:type="table" w:styleId="TableGrid">
    <w:name w:val="Table Grid"/>
    <w:basedOn w:val="TableNormal"/>
    <w:uiPriority w:val="59"/>
    <w:rsid w:val="00F21C1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21C1F"/>
    <w:pPr>
      <w:spacing w:before="0"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paragraph" w:styleId="FootnoteText">
    <w:name w:val="footnote text"/>
    <w:basedOn w:val="Normal"/>
    <w:link w:val="FootnoteTextChar"/>
    <w:uiPriority w:val="99"/>
    <w:semiHidden/>
    <w:unhideWhenUsed/>
    <w:rsid w:val="00D87286"/>
    <w:pPr>
      <w:spacing w:before="0" w:after="0" w:line="240" w:lineRule="auto"/>
    </w:pPr>
  </w:style>
  <w:style w:type="character" w:customStyle="1" w:styleId="FootnoteTextChar">
    <w:name w:val="Footnote Text Char"/>
    <w:basedOn w:val="DefaultParagraphFont"/>
    <w:link w:val="FootnoteText"/>
    <w:uiPriority w:val="99"/>
    <w:semiHidden/>
    <w:rsid w:val="00D87286"/>
    <w:rPr>
      <w:sz w:val="20"/>
      <w:szCs w:val="20"/>
    </w:rPr>
  </w:style>
  <w:style w:type="character" w:styleId="FootnoteReference">
    <w:name w:val="footnote reference"/>
    <w:basedOn w:val="DefaultParagraphFont"/>
    <w:uiPriority w:val="99"/>
    <w:semiHidden/>
    <w:unhideWhenUsed/>
    <w:rsid w:val="00D87286"/>
    <w:rPr>
      <w:vertAlign w:val="superscript"/>
    </w:rPr>
  </w:style>
  <w:style w:type="table" w:styleId="LightShading-Accent1">
    <w:name w:val="Light Shading Accent 1"/>
    <w:basedOn w:val="TableNormal"/>
    <w:uiPriority w:val="60"/>
    <w:rsid w:val="003667D7"/>
    <w:pPr>
      <w:spacing w:before="0" w:after="0" w:line="240" w:lineRule="auto"/>
    </w:pPr>
    <w:rPr>
      <w:color w:val="6E9400" w:themeColor="accent1" w:themeShade="BF"/>
    </w:rPr>
    <w:tblPr>
      <w:tblStyleRowBandSize w:val="1"/>
      <w:tblStyleColBandSize w:val="1"/>
      <w:tblBorders>
        <w:top w:val="single" w:sz="8" w:space="0" w:color="94C600" w:themeColor="accent1"/>
        <w:bottom w:val="single" w:sz="8" w:space="0" w:color="94C600" w:themeColor="accent1"/>
      </w:tblBorders>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MediumShading2-Accent1">
    <w:name w:val="Medium Shading 2 Accent 1"/>
    <w:basedOn w:val="TableNormal"/>
    <w:uiPriority w:val="64"/>
    <w:rsid w:val="003667D7"/>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9B0524"/>
    <w:pPr>
      <w:spacing w:before="0" w:after="0" w:line="240" w:lineRule="auto"/>
    </w:pPr>
    <w:tblPr>
      <w:tblStyleRowBandSize w:val="1"/>
      <w:tblStyleColBandSize w:val="1"/>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372D1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72D10"/>
    <w:rPr>
      <w:sz w:val="20"/>
      <w:szCs w:val="20"/>
    </w:rPr>
  </w:style>
  <w:style w:type="paragraph" w:styleId="Footer">
    <w:name w:val="footer"/>
    <w:basedOn w:val="Normal"/>
    <w:link w:val="FooterChar"/>
    <w:uiPriority w:val="99"/>
    <w:unhideWhenUsed/>
    <w:rsid w:val="00372D1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72D10"/>
    <w:rPr>
      <w:sz w:val="20"/>
      <w:szCs w:val="20"/>
    </w:rPr>
  </w:style>
  <w:style w:type="paragraph" w:styleId="TOC1">
    <w:name w:val="toc 1"/>
    <w:basedOn w:val="Normal"/>
    <w:next w:val="Normal"/>
    <w:autoRedefine/>
    <w:uiPriority w:val="39"/>
    <w:unhideWhenUsed/>
    <w:rsid w:val="00DC2AB5"/>
    <w:pPr>
      <w:spacing w:after="100"/>
    </w:pPr>
  </w:style>
  <w:style w:type="paragraph" w:styleId="TOC2">
    <w:name w:val="toc 2"/>
    <w:basedOn w:val="Normal"/>
    <w:next w:val="Normal"/>
    <w:autoRedefine/>
    <w:uiPriority w:val="39"/>
    <w:unhideWhenUsed/>
    <w:rsid w:val="00DC2AB5"/>
    <w:pPr>
      <w:spacing w:after="100"/>
      <w:ind w:left="200"/>
    </w:pPr>
  </w:style>
  <w:style w:type="paragraph" w:styleId="TOC3">
    <w:name w:val="toc 3"/>
    <w:basedOn w:val="Normal"/>
    <w:next w:val="Normal"/>
    <w:autoRedefine/>
    <w:uiPriority w:val="39"/>
    <w:unhideWhenUsed/>
    <w:rsid w:val="00DC2AB5"/>
    <w:pPr>
      <w:spacing w:after="100"/>
      <w:ind w:left="400"/>
    </w:pPr>
  </w:style>
  <w:style w:type="character" w:styleId="Hyperlink">
    <w:name w:val="Hyperlink"/>
    <w:basedOn w:val="DefaultParagraphFont"/>
    <w:uiPriority w:val="99"/>
    <w:unhideWhenUsed/>
    <w:rsid w:val="00DC2AB5"/>
    <w:rPr>
      <w:color w:val="E682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B0D"/>
    <w:rPr>
      <w:sz w:val="20"/>
      <w:szCs w:val="20"/>
    </w:rPr>
  </w:style>
  <w:style w:type="paragraph" w:styleId="Heading1">
    <w:name w:val="heading 1"/>
    <w:basedOn w:val="Normal"/>
    <w:next w:val="Normal"/>
    <w:link w:val="Heading1Char"/>
    <w:uiPriority w:val="9"/>
    <w:qFormat/>
    <w:rsid w:val="00926B0D"/>
    <w:pPr>
      <w:pBdr>
        <w:top w:val="single" w:sz="24" w:space="0" w:color="94C600" w:themeColor="accent1"/>
        <w:left w:val="single" w:sz="24" w:space="0" w:color="94C600" w:themeColor="accent1"/>
        <w:bottom w:val="single" w:sz="24" w:space="0" w:color="94C600" w:themeColor="accent1"/>
        <w:right w:val="single" w:sz="24" w:space="0" w:color="94C600" w:themeColor="accent1"/>
      </w:pBdr>
      <w:shd w:val="clear" w:color="auto" w:fill="94C600"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926B0D"/>
    <w:pPr>
      <w:pBdr>
        <w:top w:val="single" w:sz="24" w:space="0" w:color="EFFFC0" w:themeColor="accent1" w:themeTint="33"/>
        <w:left w:val="single" w:sz="24" w:space="0" w:color="EFFFC0" w:themeColor="accent1" w:themeTint="33"/>
        <w:bottom w:val="single" w:sz="24" w:space="0" w:color="EFFFC0" w:themeColor="accent1" w:themeTint="33"/>
        <w:right w:val="single" w:sz="24" w:space="0" w:color="EFFFC0" w:themeColor="accent1" w:themeTint="33"/>
      </w:pBdr>
      <w:shd w:val="clear" w:color="auto" w:fill="EFFFC0"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26B0D"/>
    <w:pPr>
      <w:pBdr>
        <w:top w:val="single" w:sz="6" w:space="2" w:color="94C600" w:themeColor="accent1"/>
        <w:left w:val="single" w:sz="6" w:space="2" w:color="94C600" w:themeColor="accent1"/>
      </w:pBdr>
      <w:spacing w:before="300" w:after="0"/>
      <w:outlineLvl w:val="2"/>
    </w:pPr>
    <w:rPr>
      <w:caps/>
      <w:color w:val="496200" w:themeColor="accent1" w:themeShade="7F"/>
      <w:spacing w:val="15"/>
      <w:sz w:val="22"/>
      <w:szCs w:val="22"/>
    </w:rPr>
  </w:style>
  <w:style w:type="paragraph" w:styleId="Heading4">
    <w:name w:val="heading 4"/>
    <w:basedOn w:val="Normal"/>
    <w:next w:val="Normal"/>
    <w:link w:val="Heading4Char"/>
    <w:uiPriority w:val="9"/>
    <w:semiHidden/>
    <w:unhideWhenUsed/>
    <w:qFormat/>
    <w:rsid w:val="00926B0D"/>
    <w:pPr>
      <w:pBdr>
        <w:top w:val="dotted" w:sz="6" w:space="2" w:color="94C600" w:themeColor="accent1"/>
        <w:left w:val="dotted" w:sz="6" w:space="2" w:color="94C600" w:themeColor="accent1"/>
      </w:pBdr>
      <w:spacing w:before="300" w:after="0"/>
      <w:outlineLvl w:val="3"/>
    </w:pPr>
    <w:rPr>
      <w:caps/>
      <w:color w:val="6E9400" w:themeColor="accent1" w:themeShade="BF"/>
      <w:spacing w:val="10"/>
      <w:sz w:val="22"/>
      <w:szCs w:val="22"/>
    </w:rPr>
  </w:style>
  <w:style w:type="paragraph" w:styleId="Heading5">
    <w:name w:val="heading 5"/>
    <w:basedOn w:val="Normal"/>
    <w:next w:val="Normal"/>
    <w:link w:val="Heading5Char"/>
    <w:uiPriority w:val="9"/>
    <w:semiHidden/>
    <w:unhideWhenUsed/>
    <w:qFormat/>
    <w:rsid w:val="00926B0D"/>
    <w:pPr>
      <w:pBdr>
        <w:bottom w:val="single" w:sz="6" w:space="1" w:color="94C600" w:themeColor="accent1"/>
      </w:pBdr>
      <w:spacing w:before="300" w:after="0"/>
      <w:outlineLvl w:val="4"/>
    </w:pPr>
    <w:rPr>
      <w:caps/>
      <w:color w:val="6E9400" w:themeColor="accent1" w:themeShade="BF"/>
      <w:spacing w:val="10"/>
      <w:sz w:val="22"/>
      <w:szCs w:val="22"/>
    </w:rPr>
  </w:style>
  <w:style w:type="paragraph" w:styleId="Heading6">
    <w:name w:val="heading 6"/>
    <w:basedOn w:val="Normal"/>
    <w:next w:val="Normal"/>
    <w:link w:val="Heading6Char"/>
    <w:uiPriority w:val="9"/>
    <w:semiHidden/>
    <w:unhideWhenUsed/>
    <w:qFormat/>
    <w:rsid w:val="00926B0D"/>
    <w:pPr>
      <w:pBdr>
        <w:bottom w:val="dotted" w:sz="6" w:space="1" w:color="94C600" w:themeColor="accent1"/>
      </w:pBdr>
      <w:spacing w:before="300" w:after="0"/>
      <w:outlineLvl w:val="5"/>
    </w:pPr>
    <w:rPr>
      <w:caps/>
      <w:color w:val="6E9400" w:themeColor="accent1" w:themeShade="BF"/>
      <w:spacing w:val="10"/>
      <w:sz w:val="22"/>
      <w:szCs w:val="22"/>
    </w:rPr>
  </w:style>
  <w:style w:type="paragraph" w:styleId="Heading7">
    <w:name w:val="heading 7"/>
    <w:basedOn w:val="Normal"/>
    <w:next w:val="Normal"/>
    <w:link w:val="Heading7Char"/>
    <w:uiPriority w:val="9"/>
    <w:semiHidden/>
    <w:unhideWhenUsed/>
    <w:qFormat/>
    <w:rsid w:val="00926B0D"/>
    <w:pPr>
      <w:spacing w:before="300" w:after="0"/>
      <w:outlineLvl w:val="6"/>
    </w:pPr>
    <w:rPr>
      <w:caps/>
      <w:color w:val="6E9400" w:themeColor="accent1" w:themeShade="BF"/>
      <w:spacing w:val="10"/>
      <w:sz w:val="22"/>
      <w:szCs w:val="22"/>
    </w:rPr>
  </w:style>
  <w:style w:type="paragraph" w:styleId="Heading8">
    <w:name w:val="heading 8"/>
    <w:basedOn w:val="Normal"/>
    <w:next w:val="Normal"/>
    <w:link w:val="Heading8Char"/>
    <w:uiPriority w:val="9"/>
    <w:semiHidden/>
    <w:unhideWhenUsed/>
    <w:qFormat/>
    <w:rsid w:val="00926B0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926B0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6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5F4"/>
    <w:rPr>
      <w:rFonts w:ascii="Tahoma" w:hAnsi="Tahoma" w:cs="Tahoma"/>
      <w:sz w:val="16"/>
      <w:szCs w:val="16"/>
    </w:rPr>
  </w:style>
  <w:style w:type="paragraph" w:styleId="NoSpacing">
    <w:name w:val="No Spacing"/>
    <w:basedOn w:val="Normal"/>
    <w:link w:val="NoSpacingChar"/>
    <w:uiPriority w:val="1"/>
    <w:qFormat/>
    <w:rsid w:val="00926B0D"/>
    <w:pPr>
      <w:spacing w:before="0" w:after="0" w:line="240" w:lineRule="auto"/>
    </w:pPr>
  </w:style>
  <w:style w:type="character" w:customStyle="1" w:styleId="NoSpacingChar">
    <w:name w:val="No Spacing Char"/>
    <w:basedOn w:val="DefaultParagraphFont"/>
    <w:link w:val="NoSpacing"/>
    <w:uiPriority w:val="1"/>
    <w:rsid w:val="00926B0D"/>
    <w:rPr>
      <w:sz w:val="20"/>
      <w:szCs w:val="20"/>
    </w:rPr>
  </w:style>
  <w:style w:type="character" w:customStyle="1" w:styleId="Heading1Char">
    <w:name w:val="Heading 1 Char"/>
    <w:basedOn w:val="DefaultParagraphFont"/>
    <w:link w:val="Heading1"/>
    <w:uiPriority w:val="9"/>
    <w:rsid w:val="00926B0D"/>
    <w:rPr>
      <w:b/>
      <w:bCs/>
      <w:caps/>
      <w:color w:val="FFFFFF" w:themeColor="background1"/>
      <w:spacing w:val="15"/>
      <w:shd w:val="clear" w:color="auto" w:fill="94C600" w:themeFill="accent1"/>
    </w:rPr>
  </w:style>
  <w:style w:type="character" w:customStyle="1" w:styleId="Heading2Char">
    <w:name w:val="Heading 2 Char"/>
    <w:basedOn w:val="DefaultParagraphFont"/>
    <w:link w:val="Heading2"/>
    <w:uiPriority w:val="9"/>
    <w:rsid w:val="00926B0D"/>
    <w:rPr>
      <w:caps/>
      <w:spacing w:val="15"/>
      <w:shd w:val="clear" w:color="auto" w:fill="EFFFC0" w:themeFill="accent1" w:themeFillTint="33"/>
    </w:rPr>
  </w:style>
  <w:style w:type="character" w:customStyle="1" w:styleId="Heading3Char">
    <w:name w:val="Heading 3 Char"/>
    <w:basedOn w:val="DefaultParagraphFont"/>
    <w:link w:val="Heading3"/>
    <w:uiPriority w:val="9"/>
    <w:rsid w:val="00926B0D"/>
    <w:rPr>
      <w:caps/>
      <w:color w:val="496200" w:themeColor="accent1" w:themeShade="7F"/>
      <w:spacing w:val="15"/>
    </w:rPr>
  </w:style>
  <w:style w:type="character" w:customStyle="1" w:styleId="Heading4Char">
    <w:name w:val="Heading 4 Char"/>
    <w:basedOn w:val="DefaultParagraphFont"/>
    <w:link w:val="Heading4"/>
    <w:uiPriority w:val="9"/>
    <w:semiHidden/>
    <w:rsid w:val="00926B0D"/>
    <w:rPr>
      <w:caps/>
      <w:color w:val="6E9400" w:themeColor="accent1" w:themeShade="BF"/>
      <w:spacing w:val="10"/>
    </w:rPr>
  </w:style>
  <w:style w:type="character" w:customStyle="1" w:styleId="Heading5Char">
    <w:name w:val="Heading 5 Char"/>
    <w:basedOn w:val="DefaultParagraphFont"/>
    <w:link w:val="Heading5"/>
    <w:uiPriority w:val="9"/>
    <w:semiHidden/>
    <w:rsid w:val="00926B0D"/>
    <w:rPr>
      <w:caps/>
      <w:color w:val="6E9400" w:themeColor="accent1" w:themeShade="BF"/>
      <w:spacing w:val="10"/>
    </w:rPr>
  </w:style>
  <w:style w:type="character" w:customStyle="1" w:styleId="Heading6Char">
    <w:name w:val="Heading 6 Char"/>
    <w:basedOn w:val="DefaultParagraphFont"/>
    <w:link w:val="Heading6"/>
    <w:uiPriority w:val="9"/>
    <w:semiHidden/>
    <w:rsid w:val="00926B0D"/>
    <w:rPr>
      <w:caps/>
      <w:color w:val="6E9400" w:themeColor="accent1" w:themeShade="BF"/>
      <w:spacing w:val="10"/>
    </w:rPr>
  </w:style>
  <w:style w:type="character" w:customStyle="1" w:styleId="Heading7Char">
    <w:name w:val="Heading 7 Char"/>
    <w:basedOn w:val="DefaultParagraphFont"/>
    <w:link w:val="Heading7"/>
    <w:uiPriority w:val="9"/>
    <w:semiHidden/>
    <w:rsid w:val="00926B0D"/>
    <w:rPr>
      <w:caps/>
      <w:color w:val="6E9400" w:themeColor="accent1" w:themeShade="BF"/>
      <w:spacing w:val="10"/>
    </w:rPr>
  </w:style>
  <w:style w:type="character" w:customStyle="1" w:styleId="Heading8Char">
    <w:name w:val="Heading 8 Char"/>
    <w:basedOn w:val="DefaultParagraphFont"/>
    <w:link w:val="Heading8"/>
    <w:uiPriority w:val="9"/>
    <w:semiHidden/>
    <w:rsid w:val="00926B0D"/>
    <w:rPr>
      <w:caps/>
      <w:spacing w:val="10"/>
      <w:sz w:val="18"/>
      <w:szCs w:val="18"/>
    </w:rPr>
  </w:style>
  <w:style w:type="character" w:customStyle="1" w:styleId="Heading9Char">
    <w:name w:val="Heading 9 Char"/>
    <w:basedOn w:val="DefaultParagraphFont"/>
    <w:link w:val="Heading9"/>
    <w:uiPriority w:val="9"/>
    <w:semiHidden/>
    <w:rsid w:val="00926B0D"/>
    <w:rPr>
      <w:i/>
      <w:caps/>
      <w:spacing w:val="10"/>
      <w:sz w:val="18"/>
      <w:szCs w:val="18"/>
    </w:rPr>
  </w:style>
  <w:style w:type="paragraph" w:styleId="Title">
    <w:name w:val="Title"/>
    <w:basedOn w:val="Normal"/>
    <w:next w:val="Normal"/>
    <w:link w:val="TitleChar"/>
    <w:uiPriority w:val="10"/>
    <w:qFormat/>
    <w:rsid w:val="00926B0D"/>
    <w:pPr>
      <w:spacing w:before="720"/>
    </w:pPr>
    <w:rPr>
      <w:caps/>
      <w:color w:val="94C600" w:themeColor="accent1"/>
      <w:spacing w:val="10"/>
      <w:kern w:val="28"/>
      <w:sz w:val="52"/>
      <w:szCs w:val="52"/>
    </w:rPr>
  </w:style>
  <w:style w:type="character" w:customStyle="1" w:styleId="TitleChar">
    <w:name w:val="Title Char"/>
    <w:basedOn w:val="DefaultParagraphFont"/>
    <w:link w:val="Title"/>
    <w:uiPriority w:val="10"/>
    <w:rsid w:val="00926B0D"/>
    <w:rPr>
      <w:caps/>
      <w:color w:val="94C600" w:themeColor="accent1"/>
      <w:spacing w:val="10"/>
      <w:kern w:val="28"/>
      <w:sz w:val="52"/>
      <w:szCs w:val="52"/>
    </w:rPr>
  </w:style>
  <w:style w:type="paragraph" w:styleId="Subtitle">
    <w:name w:val="Subtitle"/>
    <w:basedOn w:val="Normal"/>
    <w:next w:val="Normal"/>
    <w:link w:val="SubtitleChar"/>
    <w:uiPriority w:val="11"/>
    <w:qFormat/>
    <w:rsid w:val="00926B0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26B0D"/>
    <w:rPr>
      <w:caps/>
      <w:color w:val="595959" w:themeColor="text1" w:themeTint="A6"/>
      <w:spacing w:val="10"/>
      <w:sz w:val="24"/>
      <w:szCs w:val="24"/>
    </w:rPr>
  </w:style>
  <w:style w:type="character" w:styleId="Strong">
    <w:name w:val="Strong"/>
    <w:uiPriority w:val="22"/>
    <w:qFormat/>
    <w:rsid w:val="00926B0D"/>
    <w:rPr>
      <w:b/>
      <w:bCs/>
    </w:rPr>
  </w:style>
  <w:style w:type="character" w:styleId="Emphasis">
    <w:name w:val="Emphasis"/>
    <w:uiPriority w:val="20"/>
    <w:qFormat/>
    <w:rsid w:val="00926B0D"/>
    <w:rPr>
      <w:caps/>
      <w:color w:val="496200" w:themeColor="accent1" w:themeShade="7F"/>
      <w:spacing w:val="5"/>
    </w:rPr>
  </w:style>
  <w:style w:type="paragraph" w:styleId="ListParagraph">
    <w:name w:val="List Paragraph"/>
    <w:basedOn w:val="Normal"/>
    <w:uiPriority w:val="34"/>
    <w:qFormat/>
    <w:rsid w:val="00926B0D"/>
    <w:pPr>
      <w:ind w:left="720"/>
      <w:contextualSpacing/>
    </w:pPr>
  </w:style>
  <w:style w:type="paragraph" w:styleId="Quote">
    <w:name w:val="Quote"/>
    <w:basedOn w:val="Normal"/>
    <w:next w:val="Normal"/>
    <w:link w:val="QuoteChar"/>
    <w:uiPriority w:val="29"/>
    <w:qFormat/>
    <w:rsid w:val="00926B0D"/>
    <w:rPr>
      <w:i/>
      <w:iCs/>
    </w:rPr>
  </w:style>
  <w:style w:type="character" w:customStyle="1" w:styleId="QuoteChar">
    <w:name w:val="Quote Char"/>
    <w:basedOn w:val="DefaultParagraphFont"/>
    <w:link w:val="Quote"/>
    <w:uiPriority w:val="29"/>
    <w:rsid w:val="00926B0D"/>
    <w:rPr>
      <w:i/>
      <w:iCs/>
      <w:sz w:val="20"/>
      <w:szCs w:val="20"/>
    </w:rPr>
  </w:style>
  <w:style w:type="paragraph" w:styleId="IntenseQuote">
    <w:name w:val="Intense Quote"/>
    <w:basedOn w:val="Normal"/>
    <w:next w:val="Normal"/>
    <w:link w:val="IntenseQuoteChar"/>
    <w:uiPriority w:val="30"/>
    <w:qFormat/>
    <w:rsid w:val="00926B0D"/>
    <w:pPr>
      <w:pBdr>
        <w:top w:val="single" w:sz="4" w:space="10" w:color="94C600" w:themeColor="accent1"/>
        <w:left w:val="single" w:sz="4" w:space="10" w:color="94C600" w:themeColor="accent1"/>
      </w:pBdr>
      <w:spacing w:after="0"/>
      <w:ind w:left="1296" w:right="1152"/>
      <w:jc w:val="both"/>
    </w:pPr>
    <w:rPr>
      <w:i/>
      <w:iCs/>
      <w:color w:val="94C600" w:themeColor="accent1"/>
    </w:rPr>
  </w:style>
  <w:style w:type="character" w:customStyle="1" w:styleId="IntenseQuoteChar">
    <w:name w:val="Intense Quote Char"/>
    <w:basedOn w:val="DefaultParagraphFont"/>
    <w:link w:val="IntenseQuote"/>
    <w:uiPriority w:val="30"/>
    <w:rsid w:val="00926B0D"/>
    <w:rPr>
      <w:i/>
      <w:iCs/>
      <w:color w:val="94C600" w:themeColor="accent1"/>
      <w:sz w:val="20"/>
      <w:szCs w:val="20"/>
    </w:rPr>
  </w:style>
  <w:style w:type="character" w:styleId="SubtleEmphasis">
    <w:name w:val="Subtle Emphasis"/>
    <w:uiPriority w:val="19"/>
    <w:qFormat/>
    <w:rsid w:val="00926B0D"/>
    <w:rPr>
      <w:i/>
      <w:iCs/>
      <w:color w:val="496200" w:themeColor="accent1" w:themeShade="7F"/>
    </w:rPr>
  </w:style>
  <w:style w:type="character" w:styleId="IntenseEmphasis">
    <w:name w:val="Intense Emphasis"/>
    <w:uiPriority w:val="21"/>
    <w:qFormat/>
    <w:rsid w:val="00926B0D"/>
    <w:rPr>
      <w:b/>
      <w:bCs/>
      <w:caps/>
      <w:color w:val="496200" w:themeColor="accent1" w:themeShade="7F"/>
      <w:spacing w:val="10"/>
    </w:rPr>
  </w:style>
  <w:style w:type="character" w:styleId="SubtleReference">
    <w:name w:val="Subtle Reference"/>
    <w:uiPriority w:val="31"/>
    <w:qFormat/>
    <w:rsid w:val="00926B0D"/>
    <w:rPr>
      <w:b/>
      <w:bCs/>
      <w:color w:val="94C600" w:themeColor="accent1"/>
    </w:rPr>
  </w:style>
  <w:style w:type="character" w:styleId="IntenseReference">
    <w:name w:val="Intense Reference"/>
    <w:uiPriority w:val="32"/>
    <w:qFormat/>
    <w:rsid w:val="00926B0D"/>
    <w:rPr>
      <w:b/>
      <w:bCs/>
      <w:i/>
      <w:iCs/>
      <w:caps/>
      <w:color w:val="94C600" w:themeColor="accent1"/>
    </w:rPr>
  </w:style>
  <w:style w:type="character" w:styleId="BookTitle">
    <w:name w:val="Book Title"/>
    <w:uiPriority w:val="33"/>
    <w:qFormat/>
    <w:rsid w:val="00926B0D"/>
    <w:rPr>
      <w:b/>
      <w:bCs/>
      <w:i/>
      <w:iCs/>
      <w:spacing w:val="9"/>
    </w:rPr>
  </w:style>
  <w:style w:type="paragraph" w:styleId="TOCHeading">
    <w:name w:val="TOC Heading"/>
    <w:basedOn w:val="Heading1"/>
    <w:next w:val="Normal"/>
    <w:uiPriority w:val="39"/>
    <w:semiHidden/>
    <w:unhideWhenUsed/>
    <w:qFormat/>
    <w:rsid w:val="00926B0D"/>
    <w:pPr>
      <w:outlineLvl w:val="9"/>
    </w:pPr>
    <w:rPr>
      <w:lang w:bidi="en-US"/>
    </w:rPr>
  </w:style>
  <w:style w:type="paragraph" w:styleId="Caption">
    <w:name w:val="caption"/>
    <w:basedOn w:val="Normal"/>
    <w:next w:val="Normal"/>
    <w:uiPriority w:val="35"/>
    <w:semiHidden/>
    <w:unhideWhenUsed/>
    <w:qFormat/>
    <w:rsid w:val="00926B0D"/>
    <w:rPr>
      <w:b/>
      <w:bCs/>
      <w:color w:val="6E9400" w:themeColor="accent1" w:themeShade="BF"/>
      <w:sz w:val="16"/>
      <w:szCs w:val="16"/>
    </w:rPr>
  </w:style>
  <w:style w:type="character" w:styleId="CommentReference">
    <w:name w:val="annotation reference"/>
    <w:basedOn w:val="DefaultParagraphFont"/>
    <w:uiPriority w:val="99"/>
    <w:semiHidden/>
    <w:unhideWhenUsed/>
    <w:rsid w:val="00CE3C14"/>
    <w:rPr>
      <w:sz w:val="16"/>
      <w:szCs w:val="16"/>
    </w:rPr>
  </w:style>
  <w:style w:type="paragraph" w:styleId="CommentText">
    <w:name w:val="annotation text"/>
    <w:basedOn w:val="Normal"/>
    <w:link w:val="CommentTextChar"/>
    <w:uiPriority w:val="99"/>
    <w:semiHidden/>
    <w:unhideWhenUsed/>
    <w:rsid w:val="00CE3C14"/>
    <w:pPr>
      <w:spacing w:line="240" w:lineRule="auto"/>
    </w:pPr>
  </w:style>
  <w:style w:type="character" w:customStyle="1" w:styleId="CommentTextChar">
    <w:name w:val="Comment Text Char"/>
    <w:basedOn w:val="DefaultParagraphFont"/>
    <w:link w:val="CommentText"/>
    <w:uiPriority w:val="99"/>
    <w:semiHidden/>
    <w:rsid w:val="00CE3C14"/>
    <w:rPr>
      <w:sz w:val="20"/>
      <w:szCs w:val="20"/>
    </w:rPr>
  </w:style>
  <w:style w:type="paragraph" w:styleId="CommentSubject">
    <w:name w:val="annotation subject"/>
    <w:basedOn w:val="CommentText"/>
    <w:next w:val="CommentText"/>
    <w:link w:val="CommentSubjectChar"/>
    <w:uiPriority w:val="99"/>
    <w:semiHidden/>
    <w:unhideWhenUsed/>
    <w:rsid w:val="00CE3C14"/>
    <w:rPr>
      <w:b/>
      <w:bCs/>
    </w:rPr>
  </w:style>
  <w:style w:type="character" w:customStyle="1" w:styleId="CommentSubjectChar">
    <w:name w:val="Comment Subject Char"/>
    <w:basedOn w:val="CommentTextChar"/>
    <w:link w:val="CommentSubject"/>
    <w:uiPriority w:val="99"/>
    <w:semiHidden/>
    <w:rsid w:val="00CE3C14"/>
    <w:rPr>
      <w:b/>
      <w:bCs/>
      <w:sz w:val="20"/>
      <w:szCs w:val="20"/>
    </w:rPr>
  </w:style>
  <w:style w:type="table" w:styleId="TableGrid">
    <w:name w:val="Table Grid"/>
    <w:basedOn w:val="TableNormal"/>
    <w:uiPriority w:val="59"/>
    <w:rsid w:val="00F21C1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21C1F"/>
    <w:pPr>
      <w:spacing w:before="0"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tblBorders>
    </w:tblPr>
    <w:tblStylePr w:type="firstRow">
      <w:pPr>
        <w:spacing w:before="0" w:after="0" w:line="240" w:lineRule="auto"/>
      </w:pPr>
      <w:rPr>
        <w:b/>
        <w:bCs/>
        <w:color w:val="FFFFFF" w:themeColor="background1"/>
      </w:rPr>
      <w:tblPr/>
      <w:tcPr>
        <w:shd w:val="clear" w:color="auto" w:fill="94C600" w:themeFill="accent1"/>
      </w:tcPr>
    </w:tblStylePr>
    <w:tblStylePr w:type="lastRow">
      <w:pPr>
        <w:spacing w:before="0" w:after="0" w:line="240" w:lineRule="auto"/>
      </w:pPr>
      <w:rPr>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tcBorders>
      </w:tcPr>
    </w:tblStylePr>
    <w:tblStylePr w:type="firstCol">
      <w:rPr>
        <w:b/>
        <w:bCs/>
      </w:rPr>
    </w:tblStylePr>
    <w:tblStylePr w:type="lastCol">
      <w:rPr>
        <w:b/>
        <w:bCs/>
      </w:r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style>
  <w:style w:type="paragraph" w:styleId="FootnoteText">
    <w:name w:val="footnote text"/>
    <w:basedOn w:val="Normal"/>
    <w:link w:val="FootnoteTextChar"/>
    <w:uiPriority w:val="99"/>
    <w:semiHidden/>
    <w:unhideWhenUsed/>
    <w:rsid w:val="00D87286"/>
    <w:pPr>
      <w:spacing w:before="0" w:after="0" w:line="240" w:lineRule="auto"/>
    </w:pPr>
  </w:style>
  <w:style w:type="character" w:customStyle="1" w:styleId="FootnoteTextChar">
    <w:name w:val="Footnote Text Char"/>
    <w:basedOn w:val="DefaultParagraphFont"/>
    <w:link w:val="FootnoteText"/>
    <w:uiPriority w:val="99"/>
    <w:semiHidden/>
    <w:rsid w:val="00D87286"/>
    <w:rPr>
      <w:sz w:val="20"/>
      <w:szCs w:val="20"/>
    </w:rPr>
  </w:style>
  <w:style w:type="character" w:styleId="FootnoteReference">
    <w:name w:val="footnote reference"/>
    <w:basedOn w:val="DefaultParagraphFont"/>
    <w:uiPriority w:val="99"/>
    <w:semiHidden/>
    <w:unhideWhenUsed/>
    <w:rsid w:val="00D87286"/>
    <w:rPr>
      <w:vertAlign w:val="superscript"/>
    </w:rPr>
  </w:style>
  <w:style w:type="table" w:styleId="LightShading-Accent1">
    <w:name w:val="Light Shading Accent 1"/>
    <w:basedOn w:val="TableNormal"/>
    <w:uiPriority w:val="60"/>
    <w:rsid w:val="003667D7"/>
    <w:pPr>
      <w:spacing w:before="0" w:after="0" w:line="240" w:lineRule="auto"/>
    </w:pPr>
    <w:rPr>
      <w:color w:val="6E9400" w:themeColor="accent1" w:themeShade="BF"/>
    </w:rPr>
    <w:tblPr>
      <w:tblStyleRowBandSize w:val="1"/>
      <w:tblStyleColBandSize w:val="1"/>
      <w:tblBorders>
        <w:top w:val="single" w:sz="8" w:space="0" w:color="94C600" w:themeColor="accent1"/>
        <w:bottom w:val="single" w:sz="8" w:space="0" w:color="94C600" w:themeColor="accent1"/>
      </w:tblBorders>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 w:type="table" w:styleId="MediumShading2-Accent1">
    <w:name w:val="Medium Shading 2 Accent 1"/>
    <w:basedOn w:val="TableNormal"/>
    <w:uiPriority w:val="64"/>
    <w:rsid w:val="003667D7"/>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C6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4C600" w:themeFill="accent1"/>
      </w:tcPr>
    </w:tblStylePr>
    <w:tblStylePr w:type="lastCol">
      <w:rPr>
        <w:b/>
        <w:bCs/>
        <w:color w:val="FFFFFF" w:themeColor="background1"/>
      </w:rPr>
      <w:tblPr/>
      <w:tcPr>
        <w:tcBorders>
          <w:left w:val="nil"/>
          <w:right w:val="nil"/>
          <w:insideH w:val="nil"/>
          <w:insideV w:val="nil"/>
        </w:tcBorders>
        <w:shd w:val="clear" w:color="auto" w:fill="94C6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rsid w:val="009B0524"/>
    <w:pPr>
      <w:spacing w:before="0" w:after="0" w:line="240" w:lineRule="auto"/>
    </w:pPr>
    <w:tblPr>
      <w:tblStyleRowBandSize w:val="1"/>
      <w:tblStyleColBandSize w:val="1"/>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372D1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72D10"/>
    <w:rPr>
      <w:sz w:val="20"/>
      <w:szCs w:val="20"/>
    </w:rPr>
  </w:style>
  <w:style w:type="paragraph" w:styleId="Footer">
    <w:name w:val="footer"/>
    <w:basedOn w:val="Normal"/>
    <w:link w:val="FooterChar"/>
    <w:uiPriority w:val="99"/>
    <w:unhideWhenUsed/>
    <w:rsid w:val="00372D1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72D10"/>
    <w:rPr>
      <w:sz w:val="20"/>
      <w:szCs w:val="20"/>
    </w:rPr>
  </w:style>
  <w:style w:type="paragraph" w:styleId="TOC1">
    <w:name w:val="toc 1"/>
    <w:basedOn w:val="Normal"/>
    <w:next w:val="Normal"/>
    <w:autoRedefine/>
    <w:uiPriority w:val="39"/>
    <w:unhideWhenUsed/>
    <w:rsid w:val="00DC2AB5"/>
    <w:pPr>
      <w:spacing w:after="100"/>
    </w:pPr>
  </w:style>
  <w:style w:type="paragraph" w:styleId="TOC2">
    <w:name w:val="toc 2"/>
    <w:basedOn w:val="Normal"/>
    <w:next w:val="Normal"/>
    <w:autoRedefine/>
    <w:uiPriority w:val="39"/>
    <w:unhideWhenUsed/>
    <w:rsid w:val="00DC2AB5"/>
    <w:pPr>
      <w:spacing w:after="100"/>
      <w:ind w:left="200"/>
    </w:pPr>
  </w:style>
  <w:style w:type="paragraph" w:styleId="TOC3">
    <w:name w:val="toc 3"/>
    <w:basedOn w:val="Normal"/>
    <w:next w:val="Normal"/>
    <w:autoRedefine/>
    <w:uiPriority w:val="39"/>
    <w:unhideWhenUsed/>
    <w:rsid w:val="00DC2AB5"/>
    <w:pPr>
      <w:spacing w:after="100"/>
      <w:ind w:left="400"/>
    </w:pPr>
  </w:style>
  <w:style w:type="character" w:styleId="Hyperlink">
    <w:name w:val="Hyperlink"/>
    <w:basedOn w:val="DefaultParagraphFont"/>
    <w:uiPriority w:val="99"/>
    <w:unhideWhenUsed/>
    <w:rsid w:val="00DC2AB5"/>
    <w:rPr>
      <w:color w:val="E682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2402">
      <w:bodyDiv w:val="1"/>
      <w:marLeft w:val="0"/>
      <w:marRight w:val="0"/>
      <w:marTop w:val="0"/>
      <w:marBottom w:val="0"/>
      <w:divBdr>
        <w:top w:val="none" w:sz="0" w:space="0" w:color="auto"/>
        <w:left w:val="none" w:sz="0" w:space="0" w:color="auto"/>
        <w:bottom w:val="none" w:sz="0" w:space="0" w:color="auto"/>
        <w:right w:val="none" w:sz="0" w:space="0" w:color="auto"/>
      </w:divBdr>
    </w:div>
    <w:div w:id="234517687">
      <w:bodyDiv w:val="1"/>
      <w:marLeft w:val="0"/>
      <w:marRight w:val="0"/>
      <w:marTop w:val="0"/>
      <w:marBottom w:val="0"/>
      <w:divBdr>
        <w:top w:val="none" w:sz="0" w:space="0" w:color="auto"/>
        <w:left w:val="none" w:sz="0" w:space="0" w:color="auto"/>
        <w:bottom w:val="none" w:sz="0" w:space="0" w:color="auto"/>
        <w:right w:val="none" w:sz="0" w:space="0" w:color="auto"/>
      </w:divBdr>
    </w:div>
    <w:div w:id="259996472">
      <w:bodyDiv w:val="1"/>
      <w:marLeft w:val="0"/>
      <w:marRight w:val="0"/>
      <w:marTop w:val="0"/>
      <w:marBottom w:val="0"/>
      <w:divBdr>
        <w:top w:val="none" w:sz="0" w:space="0" w:color="auto"/>
        <w:left w:val="none" w:sz="0" w:space="0" w:color="auto"/>
        <w:bottom w:val="none" w:sz="0" w:space="0" w:color="auto"/>
        <w:right w:val="none" w:sz="0" w:space="0" w:color="auto"/>
      </w:divBdr>
    </w:div>
    <w:div w:id="295841675">
      <w:bodyDiv w:val="1"/>
      <w:marLeft w:val="0"/>
      <w:marRight w:val="0"/>
      <w:marTop w:val="0"/>
      <w:marBottom w:val="0"/>
      <w:divBdr>
        <w:top w:val="none" w:sz="0" w:space="0" w:color="auto"/>
        <w:left w:val="none" w:sz="0" w:space="0" w:color="auto"/>
        <w:bottom w:val="none" w:sz="0" w:space="0" w:color="auto"/>
        <w:right w:val="none" w:sz="0" w:space="0" w:color="auto"/>
      </w:divBdr>
    </w:div>
    <w:div w:id="297344321">
      <w:bodyDiv w:val="1"/>
      <w:marLeft w:val="0"/>
      <w:marRight w:val="0"/>
      <w:marTop w:val="0"/>
      <w:marBottom w:val="0"/>
      <w:divBdr>
        <w:top w:val="none" w:sz="0" w:space="0" w:color="auto"/>
        <w:left w:val="none" w:sz="0" w:space="0" w:color="auto"/>
        <w:bottom w:val="none" w:sz="0" w:space="0" w:color="auto"/>
        <w:right w:val="none" w:sz="0" w:space="0" w:color="auto"/>
      </w:divBdr>
    </w:div>
    <w:div w:id="474879649">
      <w:bodyDiv w:val="1"/>
      <w:marLeft w:val="0"/>
      <w:marRight w:val="0"/>
      <w:marTop w:val="0"/>
      <w:marBottom w:val="0"/>
      <w:divBdr>
        <w:top w:val="none" w:sz="0" w:space="0" w:color="auto"/>
        <w:left w:val="none" w:sz="0" w:space="0" w:color="auto"/>
        <w:bottom w:val="none" w:sz="0" w:space="0" w:color="auto"/>
        <w:right w:val="none" w:sz="0" w:space="0" w:color="auto"/>
      </w:divBdr>
    </w:div>
    <w:div w:id="487214711">
      <w:bodyDiv w:val="1"/>
      <w:marLeft w:val="0"/>
      <w:marRight w:val="0"/>
      <w:marTop w:val="0"/>
      <w:marBottom w:val="0"/>
      <w:divBdr>
        <w:top w:val="none" w:sz="0" w:space="0" w:color="auto"/>
        <w:left w:val="none" w:sz="0" w:space="0" w:color="auto"/>
        <w:bottom w:val="none" w:sz="0" w:space="0" w:color="auto"/>
        <w:right w:val="none" w:sz="0" w:space="0" w:color="auto"/>
      </w:divBdr>
    </w:div>
    <w:div w:id="495729523">
      <w:bodyDiv w:val="1"/>
      <w:marLeft w:val="0"/>
      <w:marRight w:val="0"/>
      <w:marTop w:val="0"/>
      <w:marBottom w:val="0"/>
      <w:divBdr>
        <w:top w:val="none" w:sz="0" w:space="0" w:color="auto"/>
        <w:left w:val="none" w:sz="0" w:space="0" w:color="auto"/>
        <w:bottom w:val="none" w:sz="0" w:space="0" w:color="auto"/>
        <w:right w:val="none" w:sz="0" w:space="0" w:color="auto"/>
      </w:divBdr>
    </w:div>
    <w:div w:id="595132454">
      <w:bodyDiv w:val="1"/>
      <w:marLeft w:val="0"/>
      <w:marRight w:val="0"/>
      <w:marTop w:val="0"/>
      <w:marBottom w:val="0"/>
      <w:divBdr>
        <w:top w:val="none" w:sz="0" w:space="0" w:color="auto"/>
        <w:left w:val="none" w:sz="0" w:space="0" w:color="auto"/>
        <w:bottom w:val="none" w:sz="0" w:space="0" w:color="auto"/>
        <w:right w:val="none" w:sz="0" w:space="0" w:color="auto"/>
      </w:divBdr>
    </w:div>
    <w:div w:id="639381756">
      <w:bodyDiv w:val="1"/>
      <w:marLeft w:val="0"/>
      <w:marRight w:val="0"/>
      <w:marTop w:val="0"/>
      <w:marBottom w:val="0"/>
      <w:divBdr>
        <w:top w:val="none" w:sz="0" w:space="0" w:color="auto"/>
        <w:left w:val="none" w:sz="0" w:space="0" w:color="auto"/>
        <w:bottom w:val="none" w:sz="0" w:space="0" w:color="auto"/>
        <w:right w:val="none" w:sz="0" w:space="0" w:color="auto"/>
      </w:divBdr>
    </w:div>
    <w:div w:id="666517421">
      <w:bodyDiv w:val="1"/>
      <w:marLeft w:val="0"/>
      <w:marRight w:val="0"/>
      <w:marTop w:val="0"/>
      <w:marBottom w:val="0"/>
      <w:divBdr>
        <w:top w:val="none" w:sz="0" w:space="0" w:color="auto"/>
        <w:left w:val="none" w:sz="0" w:space="0" w:color="auto"/>
        <w:bottom w:val="none" w:sz="0" w:space="0" w:color="auto"/>
        <w:right w:val="none" w:sz="0" w:space="0" w:color="auto"/>
      </w:divBdr>
    </w:div>
    <w:div w:id="678242740">
      <w:bodyDiv w:val="1"/>
      <w:marLeft w:val="0"/>
      <w:marRight w:val="0"/>
      <w:marTop w:val="0"/>
      <w:marBottom w:val="0"/>
      <w:divBdr>
        <w:top w:val="none" w:sz="0" w:space="0" w:color="auto"/>
        <w:left w:val="none" w:sz="0" w:space="0" w:color="auto"/>
        <w:bottom w:val="none" w:sz="0" w:space="0" w:color="auto"/>
        <w:right w:val="none" w:sz="0" w:space="0" w:color="auto"/>
      </w:divBdr>
    </w:div>
    <w:div w:id="709231595">
      <w:bodyDiv w:val="1"/>
      <w:marLeft w:val="0"/>
      <w:marRight w:val="0"/>
      <w:marTop w:val="0"/>
      <w:marBottom w:val="0"/>
      <w:divBdr>
        <w:top w:val="none" w:sz="0" w:space="0" w:color="auto"/>
        <w:left w:val="none" w:sz="0" w:space="0" w:color="auto"/>
        <w:bottom w:val="none" w:sz="0" w:space="0" w:color="auto"/>
        <w:right w:val="none" w:sz="0" w:space="0" w:color="auto"/>
      </w:divBdr>
    </w:div>
    <w:div w:id="751464005">
      <w:bodyDiv w:val="1"/>
      <w:marLeft w:val="0"/>
      <w:marRight w:val="0"/>
      <w:marTop w:val="0"/>
      <w:marBottom w:val="0"/>
      <w:divBdr>
        <w:top w:val="none" w:sz="0" w:space="0" w:color="auto"/>
        <w:left w:val="none" w:sz="0" w:space="0" w:color="auto"/>
        <w:bottom w:val="none" w:sz="0" w:space="0" w:color="auto"/>
        <w:right w:val="none" w:sz="0" w:space="0" w:color="auto"/>
      </w:divBdr>
    </w:div>
    <w:div w:id="762803709">
      <w:bodyDiv w:val="1"/>
      <w:marLeft w:val="0"/>
      <w:marRight w:val="0"/>
      <w:marTop w:val="0"/>
      <w:marBottom w:val="0"/>
      <w:divBdr>
        <w:top w:val="none" w:sz="0" w:space="0" w:color="auto"/>
        <w:left w:val="none" w:sz="0" w:space="0" w:color="auto"/>
        <w:bottom w:val="none" w:sz="0" w:space="0" w:color="auto"/>
        <w:right w:val="none" w:sz="0" w:space="0" w:color="auto"/>
      </w:divBdr>
    </w:div>
    <w:div w:id="765350475">
      <w:bodyDiv w:val="1"/>
      <w:marLeft w:val="0"/>
      <w:marRight w:val="0"/>
      <w:marTop w:val="0"/>
      <w:marBottom w:val="0"/>
      <w:divBdr>
        <w:top w:val="none" w:sz="0" w:space="0" w:color="auto"/>
        <w:left w:val="none" w:sz="0" w:space="0" w:color="auto"/>
        <w:bottom w:val="none" w:sz="0" w:space="0" w:color="auto"/>
        <w:right w:val="none" w:sz="0" w:space="0" w:color="auto"/>
      </w:divBdr>
    </w:div>
    <w:div w:id="974216797">
      <w:bodyDiv w:val="1"/>
      <w:marLeft w:val="0"/>
      <w:marRight w:val="0"/>
      <w:marTop w:val="0"/>
      <w:marBottom w:val="0"/>
      <w:divBdr>
        <w:top w:val="none" w:sz="0" w:space="0" w:color="auto"/>
        <w:left w:val="none" w:sz="0" w:space="0" w:color="auto"/>
        <w:bottom w:val="none" w:sz="0" w:space="0" w:color="auto"/>
        <w:right w:val="none" w:sz="0" w:space="0" w:color="auto"/>
      </w:divBdr>
    </w:div>
    <w:div w:id="1092819216">
      <w:bodyDiv w:val="1"/>
      <w:marLeft w:val="0"/>
      <w:marRight w:val="0"/>
      <w:marTop w:val="0"/>
      <w:marBottom w:val="0"/>
      <w:divBdr>
        <w:top w:val="none" w:sz="0" w:space="0" w:color="auto"/>
        <w:left w:val="none" w:sz="0" w:space="0" w:color="auto"/>
        <w:bottom w:val="none" w:sz="0" w:space="0" w:color="auto"/>
        <w:right w:val="none" w:sz="0" w:space="0" w:color="auto"/>
      </w:divBdr>
    </w:div>
    <w:div w:id="1205409600">
      <w:bodyDiv w:val="1"/>
      <w:marLeft w:val="0"/>
      <w:marRight w:val="0"/>
      <w:marTop w:val="0"/>
      <w:marBottom w:val="0"/>
      <w:divBdr>
        <w:top w:val="none" w:sz="0" w:space="0" w:color="auto"/>
        <w:left w:val="none" w:sz="0" w:space="0" w:color="auto"/>
        <w:bottom w:val="none" w:sz="0" w:space="0" w:color="auto"/>
        <w:right w:val="none" w:sz="0" w:space="0" w:color="auto"/>
      </w:divBdr>
    </w:div>
    <w:div w:id="1320882723">
      <w:bodyDiv w:val="1"/>
      <w:marLeft w:val="0"/>
      <w:marRight w:val="0"/>
      <w:marTop w:val="0"/>
      <w:marBottom w:val="0"/>
      <w:divBdr>
        <w:top w:val="none" w:sz="0" w:space="0" w:color="auto"/>
        <w:left w:val="none" w:sz="0" w:space="0" w:color="auto"/>
        <w:bottom w:val="none" w:sz="0" w:space="0" w:color="auto"/>
        <w:right w:val="none" w:sz="0" w:space="0" w:color="auto"/>
      </w:divBdr>
    </w:div>
    <w:div w:id="1334147484">
      <w:bodyDiv w:val="1"/>
      <w:marLeft w:val="0"/>
      <w:marRight w:val="0"/>
      <w:marTop w:val="0"/>
      <w:marBottom w:val="0"/>
      <w:divBdr>
        <w:top w:val="none" w:sz="0" w:space="0" w:color="auto"/>
        <w:left w:val="none" w:sz="0" w:space="0" w:color="auto"/>
        <w:bottom w:val="none" w:sz="0" w:space="0" w:color="auto"/>
        <w:right w:val="none" w:sz="0" w:space="0" w:color="auto"/>
      </w:divBdr>
    </w:div>
    <w:div w:id="1353386112">
      <w:bodyDiv w:val="1"/>
      <w:marLeft w:val="0"/>
      <w:marRight w:val="0"/>
      <w:marTop w:val="0"/>
      <w:marBottom w:val="0"/>
      <w:divBdr>
        <w:top w:val="none" w:sz="0" w:space="0" w:color="auto"/>
        <w:left w:val="none" w:sz="0" w:space="0" w:color="auto"/>
        <w:bottom w:val="none" w:sz="0" w:space="0" w:color="auto"/>
        <w:right w:val="none" w:sz="0" w:space="0" w:color="auto"/>
      </w:divBdr>
    </w:div>
    <w:div w:id="1385368432">
      <w:bodyDiv w:val="1"/>
      <w:marLeft w:val="0"/>
      <w:marRight w:val="0"/>
      <w:marTop w:val="0"/>
      <w:marBottom w:val="0"/>
      <w:divBdr>
        <w:top w:val="none" w:sz="0" w:space="0" w:color="auto"/>
        <w:left w:val="none" w:sz="0" w:space="0" w:color="auto"/>
        <w:bottom w:val="none" w:sz="0" w:space="0" w:color="auto"/>
        <w:right w:val="none" w:sz="0" w:space="0" w:color="auto"/>
      </w:divBdr>
    </w:div>
    <w:div w:id="1395816355">
      <w:bodyDiv w:val="1"/>
      <w:marLeft w:val="0"/>
      <w:marRight w:val="0"/>
      <w:marTop w:val="0"/>
      <w:marBottom w:val="0"/>
      <w:divBdr>
        <w:top w:val="none" w:sz="0" w:space="0" w:color="auto"/>
        <w:left w:val="none" w:sz="0" w:space="0" w:color="auto"/>
        <w:bottom w:val="none" w:sz="0" w:space="0" w:color="auto"/>
        <w:right w:val="none" w:sz="0" w:space="0" w:color="auto"/>
      </w:divBdr>
    </w:div>
    <w:div w:id="1440026146">
      <w:bodyDiv w:val="1"/>
      <w:marLeft w:val="0"/>
      <w:marRight w:val="0"/>
      <w:marTop w:val="0"/>
      <w:marBottom w:val="0"/>
      <w:divBdr>
        <w:top w:val="none" w:sz="0" w:space="0" w:color="auto"/>
        <w:left w:val="none" w:sz="0" w:space="0" w:color="auto"/>
        <w:bottom w:val="none" w:sz="0" w:space="0" w:color="auto"/>
        <w:right w:val="none" w:sz="0" w:space="0" w:color="auto"/>
      </w:divBdr>
    </w:div>
    <w:div w:id="1548302011">
      <w:bodyDiv w:val="1"/>
      <w:marLeft w:val="0"/>
      <w:marRight w:val="0"/>
      <w:marTop w:val="0"/>
      <w:marBottom w:val="0"/>
      <w:divBdr>
        <w:top w:val="none" w:sz="0" w:space="0" w:color="auto"/>
        <w:left w:val="none" w:sz="0" w:space="0" w:color="auto"/>
        <w:bottom w:val="none" w:sz="0" w:space="0" w:color="auto"/>
        <w:right w:val="none" w:sz="0" w:space="0" w:color="auto"/>
      </w:divBdr>
    </w:div>
    <w:div w:id="1695496634">
      <w:bodyDiv w:val="1"/>
      <w:marLeft w:val="0"/>
      <w:marRight w:val="0"/>
      <w:marTop w:val="0"/>
      <w:marBottom w:val="0"/>
      <w:divBdr>
        <w:top w:val="none" w:sz="0" w:space="0" w:color="auto"/>
        <w:left w:val="none" w:sz="0" w:space="0" w:color="auto"/>
        <w:bottom w:val="none" w:sz="0" w:space="0" w:color="auto"/>
        <w:right w:val="none" w:sz="0" w:space="0" w:color="auto"/>
      </w:divBdr>
    </w:div>
    <w:div w:id="1697005759">
      <w:bodyDiv w:val="1"/>
      <w:marLeft w:val="0"/>
      <w:marRight w:val="0"/>
      <w:marTop w:val="0"/>
      <w:marBottom w:val="0"/>
      <w:divBdr>
        <w:top w:val="none" w:sz="0" w:space="0" w:color="auto"/>
        <w:left w:val="none" w:sz="0" w:space="0" w:color="auto"/>
        <w:bottom w:val="none" w:sz="0" w:space="0" w:color="auto"/>
        <w:right w:val="none" w:sz="0" w:space="0" w:color="auto"/>
      </w:divBdr>
    </w:div>
    <w:div w:id="1734622692">
      <w:bodyDiv w:val="1"/>
      <w:marLeft w:val="0"/>
      <w:marRight w:val="0"/>
      <w:marTop w:val="0"/>
      <w:marBottom w:val="0"/>
      <w:divBdr>
        <w:top w:val="none" w:sz="0" w:space="0" w:color="auto"/>
        <w:left w:val="none" w:sz="0" w:space="0" w:color="auto"/>
        <w:bottom w:val="none" w:sz="0" w:space="0" w:color="auto"/>
        <w:right w:val="none" w:sz="0" w:space="0" w:color="auto"/>
      </w:divBdr>
    </w:div>
    <w:div w:id="1800342849">
      <w:bodyDiv w:val="1"/>
      <w:marLeft w:val="0"/>
      <w:marRight w:val="0"/>
      <w:marTop w:val="0"/>
      <w:marBottom w:val="0"/>
      <w:divBdr>
        <w:top w:val="none" w:sz="0" w:space="0" w:color="auto"/>
        <w:left w:val="none" w:sz="0" w:space="0" w:color="auto"/>
        <w:bottom w:val="none" w:sz="0" w:space="0" w:color="auto"/>
        <w:right w:val="none" w:sz="0" w:space="0" w:color="auto"/>
      </w:divBdr>
    </w:div>
    <w:div w:id="1858614775">
      <w:bodyDiv w:val="1"/>
      <w:marLeft w:val="0"/>
      <w:marRight w:val="0"/>
      <w:marTop w:val="0"/>
      <w:marBottom w:val="0"/>
      <w:divBdr>
        <w:top w:val="none" w:sz="0" w:space="0" w:color="auto"/>
        <w:left w:val="none" w:sz="0" w:space="0" w:color="auto"/>
        <w:bottom w:val="none" w:sz="0" w:space="0" w:color="auto"/>
        <w:right w:val="none" w:sz="0" w:space="0" w:color="auto"/>
      </w:divBdr>
    </w:div>
    <w:div w:id="1908607610">
      <w:bodyDiv w:val="1"/>
      <w:marLeft w:val="0"/>
      <w:marRight w:val="0"/>
      <w:marTop w:val="0"/>
      <w:marBottom w:val="0"/>
      <w:divBdr>
        <w:top w:val="none" w:sz="0" w:space="0" w:color="auto"/>
        <w:left w:val="none" w:sz="0" w:space="0" w:color="auto"/>
        <w:bottom w:val="none" w:sz="0" w:space="0" w:color="auto"/>
        <w:right w:val="none" w:sz="0" w:space="0" w:color="auto"/>
      </w:divBdr>
    </w:div>
    <w:div w:id="212356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JPG"/><Relationship Id="rId25" Type="http://schemas.openxmlformats.org/officeDocument/2006/relationships/image" Target="media/image10.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D9B1E01-DF20-4C42-96E6-AEEA50507B9E}" type="doc">
      <dgm:prSet loTypeId="urn:microsoft.com/office/officeart/2005/8/layout/cycle2" loCatId="cycle" qsTypeId="urn:microsoft.com/office/officeart/2005/8/quickstyle/3d3" qsCatId="3D" csTypeId="urn:microsoft.com/office/officeart/2005/8/colors/accent1_2" csCatId="accent1" phldr="1"/>
      <dgm:spPr/>
      <dgm:t>
        <a:bodyPr/>
        <a:lstStyle/>
        <a:p>
          <a:endParaRPr lang="en-US"/>
        </a:p>
      </dgm:t>
    </dgm:pt>
    <dgm:pt modelId="{BA734FE4-C889-4CE1-90F5-55A9B0A26FFF}">
      <dgm:prSet phldrT="[Text]"/>
      <dgm:spPr/>
      <dgm:t>
        <a:bodyPr/>
        <a:lstStyle/>
        <a:p>
          <a:pPr algn="ctr"/>
          <a:r>
            <a:rPr lang="en-US"/>
            <a:t>Eudcation</a:t>
          </a:r>
        </a:p>
      </dgm:t>
    </dgm:pt>
    <dgm:pt modelId="{E1C492B9-8307-4D8C-9929-55F2CDF80FBA}" type="parTrans" cxnId="{DA4585CB-17FF-4DF8-9257-17167BBCCCBF}">
      <dgm:prSet/>
      <dgm:spPr/>
      <dgm:t>
        <a:bodyPr/>
        <a:lstStyle/>
        <a:p>
          <a:pPr algn="ctr"/>
          <a:endParaRPr lang="en-US"/>
        </a:p>
      </dgm:t>
    </dgm:pt>
    <dgm:pt modelId="{C3FEC0C4-7341-4275-9246-7646D6C2818D}" type="sibTrans" cxnId="{DA4585CB-17FF-4DF8-9257-17167BBCCCBF}">
      <dgm:prSet/>
      <dgm:spPr/>
      <dgm:t>
        <a:bodyPr/>
        <a:lstStyle/>
        <a:p>
          <a:pPr algn="ctr"/>
          <a:endParaRPr lang="en-US"/>
        </a:p>
      </dgm:t>
    </dgm:pt>
    <dgm:pt modelId="{0EF928D9-947F-4FBA-91B9-92F8E4E56F7C}">
      <dgm:prSet phldrT="[Text]"/>
      <dgm:spPr/>
      <dgm:t>
        <a:bodyPr/>
        <a:lstStyle/>
        <a:p>
          <a:pPr algn="ctr"/>
          <a:r>
            <a:rPr lang="en-US"/>
            <a:t>Health</a:t>
          </a:r>
        </a:p>
      </dgm:t>
    </dgm:pt>
    <dgm:pt modelId="{9DFC5A9B-9343-4C34-8E98-3351BAD8DFA2}" type="parTrans" cxnId="{AAA4B694-5AF7-429A-9D2D-9074175AB8C0}">
      <dgm:prSet/>
      <dgm:spPr/>
      <dgm:t>
        <a:bodyPr/>
        <a:lstStyle/>
        <a:p>
          <a:pPr algn="ctr"/>
          <a:endParaRPr lang="en-US"/>
        </a:p>
      </dgm:t>
    </dgm:pt>
    <dgm:pt modelId="{180FB7E6-9654-45AA-A256-69AD797601FF}" type="sibTrans" cxnId="{AAA4B694-5AF7-429A-9D2D-9074175AB8C0}">
      <dgm:prSet/>
      <dgm:spPr/>
      <dgm:t>
        <a:bodyPr/>
        <a:lstStyle/>
        <a:p>
          <a:pPr algn="ctr"/>
          <a:endParaRPr lang="en-US"/>
        </a:p>
      </dgm:t>
    </dgm:pt>
    <dgm:pt modelId="{89EB23F4-0606-426D-A63A-473340BA9614}">
      <dgm:prSet phldrT="[Text]"/>
      <dgm:spPr/>
      <dgm:t>
        <a:bodyPr/>
        <a:lstStyle/>
        <a:p>
          <a:pPr algn="ctr"/>
          <a:r>
            <a:rPr lang="en-US"/>
            <a:t>Community</a:t>
          </a:r>
        </a:p>
      </dgm:t>
    </dgm:pt>
    <dgm:pt modelId="{02F13F64-C00A-4262-AD17-B79313AC9A12}" type="parTrans" cxnId="{D054349F-9B72-40FD-B245-F51A3BCED8F7}">
      <dgm:prSet/>
      <dgm:spPr/>
      <dgm:t>
        <a:bodyPr/>
        <a:lstStyle/>
        <a:p>
          <a:pPr algn="ctr"/>
          <a:endParaRPr lang="en-US"/>
        </a:p>
      </dgm:t>
    </dgm:pt>
    <dgm:pt modelId="{CB64A36A-A068-46E0-8977-C0D81CD46CD6}" type="sibTrans" cxnId="{D054349F-9B72-40FD-B245-F51A3BCED8F7}">
      <dgm:prSet/>
      <dgm:spPr/>
      <dgm:t>
        <a:bodyPr/>
        <a:lstStyle/>
        <a:p>
          <a:pPr algn="ctr"/>
          <a:endParaRPr lang="en-US"/>
        </a:p>
      </dgm:t>
    </dgm:pt>
    <dgm:pt modelId="{40013EC2-3FA3-485B-8A9F-38BA216CA8B8}">
      <dgm:prSet phldrT="[Text]"/>
      <dgm:spPr/>
      <dgm:t>
        <a:bodyPr/>
        <a:lstStyle/>
        <a:p>
          <a:pPr algn="ctr"/>
          <a:r>
            <a:rPr lang="en-US"/>
            <a:t>Nutrition</a:t>
          </a:r>
        </a:p>
      </dgm:t>
    </dgm:pt>
    <dgm:pt modelId="{6AC9091A-57D5-4817-970F-2A04DFA1CD28}" type="parTrans" cxnId="{03A342FB-677E-4310-A1AD-020D6DA8563F}">
      <dgm:prSet/>
      <dgm:spPr/>
      <dgm:t>
        <a:bodyPr/>
        <a:lstStyle/>
        <a:p>
          <a:pPr algn="ctr"/>
          <a:endParaRPr lang="en-US"/>
        </a:p>
      </dgm:t>
    </dgm:pt>
    <dgm:pt modelId="{6D22871B-7DFB-453D-81F8-0C29037137B8}" type="sibTrans" cxnId="{03A342FB-677E-4310-A1AD-020D6DA8563F}">
      <dgm:prSet/>
      <dgm:spPr/>
      <dgm:t>
        <a:bodyPr/>
        <a:lstStyle/>
        <a:p>
          <a:pPr algn="ctr"/>
          <a:endParaRPr lang="en-US"/>
        </a:p>
      </dgm:t>
    </dgm:pt>
    <dgm:pt modelId="{7A7731C0-58B6-454A-BF49-86F274E5FFCD}">
      <dgm:prSet phldrT="[Text]"/>
      <dgm:spPr/>
      <dgm:t>
        <a:bodyPr/>
        <a:lstStyle/>
        <a:p>
          <a:pPr algn="ctr"/>
          <a:r>
            <a:rPr lang="en-US"/>
            <a:t>Training</a:t>
          </a:r>
        </a:p>
      </dgm:t>
    </dgm:pt>
    <dgm:pt modelId="{F3BE8EB4-2EA0-478B-B677-28EE7BD27E8E}" type="parTrans" cxnId="{31F600D1-CCDE-4D4E-A6D4-51BB1CB64478}">
      <dgm:prSet/>
      <dgm:spPr/>
      <dgm:t>
        <a:bodyPr/>
        <a:lstStyle/>
        <a:p>
          <a:pPr algn="ctr"/>
          <a:endParaRPr lang="en-US"/>
        </a:p>
      </dgm:t>
    </dgm:pt>
    <dgm:pt modelId="{0D0A9BE3-E05D-4616-A39C-26AF7A9CA887}" type="sibTrans" cxnId="{31F600D1-CCDE-4D4E-A6D4-51BB1CB64478}">
      <dgm:prSet/>
      <dgm:spPr/>
      <dgm:t>
        <a:bodyPr/>
        <a:lstStyle/>
        <a:p>
          <a:pPr algn="ctr"/>
          <a:endParaRPr lang="en-US"/>
        </a:p>
      </dgm:t>
    </dgm:pt>
    <dgm:pt modelId="{5490456F-BAB3-431E-97D0-0CA9E2D6C8D2}" type="pres">
      <dgm:prSet presAssocID="{6D9B1E01-DF20-4C42-96E6-AEEA50507B9E}" presName="cycle" presStyleCnt="0">
        <dgm:presLayoutVars>
          <dgm:dir/>
          <dgm:resizeHandles val="exact"/>
        </dgm:presLayoutVars>
      </dgm:prSet>
      <dgm:spPr/>
      <dgm:t>
        <a:bodyPr/>
        <a:lstStyle/>
        <a:p>
          <a:endParaRPr lang="en-US"/>
        </a:p>
      </dgm:t>
    </dgm:pt>
    <dgm:pt modelId="{EC8428D3-B60B-48A4-8D73-8A83910D84B6}" type="pres">
      <dgm:prSet presAssocID="{BA734FE4-C889-4CE1-90F5-55A9B0A26FFF}" presName="node" presStyleLbl="node1" presStyleIdx="0" presStyleCnt="5">
        <dgm:presLayoutVars>
          <dgm:bulletEnabled val="1"/>
        </dgm:presLayoutVars>
      </dgm:prSet>
      <dgm:spPr/>
      <dgm:t>
        <a:bodyPr/>
        <a:lstStyle/>
        <a:p>
          <a:endParaRPr lang="en-US"/>
        </a:p>
      </dgm:t>
    </dgm:pt>
    <dgm:pt modelId="{089CDA05-5A5E-4BAF-9E96-013D89EF89F3}" type="pres">
      <dgm:prSet presAssocID="{C3FEC0C4-7341-4275-9246-7646D6C2818D}" presName="sibTrans" presStyleLbl="sibTrans2D1" presStyleIdx="0" presStyleCnt="5"/>
      <dgm:spPr/>
      <dgm:t>
        <a:bodyPr/>
        <a:lstStyle/>
        <a:p>
          <a:endParaRPr lang="en-US"/>
        </a:p>
      </dgm:t>
    </dgm:pt>
    <dgm:pt modelId="{230A1771-D8B7-4850-95CF-19EE25D6D56F}" type="pres">
      <dgm:prSet presAssocID="{C3FEC0C4-7341-4275-9246-7646D6C2818D}" presName="connectorText" presStyleLbl="sibTrans2D1" presStyleIdx="0" presStyleCnt="5"/>
      <dgm:spPr/>
      <dgm:t>
        <a:bodyPr/>
        <a:lstStyle/>
        <a:p>
          <a:endParaRPr lang="en-US"/>
        </a:p>
      </dgm:t>
    </dgm:pt>
    <dgm:pt modelId="{1D1ADB01-6436-4803-B0AC-DDF782BB4DA7}" type="pres">
      <dgm:prSet presAssocID="{0EF928D9-947F-4FBA-91B9-92F8E4E56F7C}" presName="node" presStyleLbl="node1" presStyleIdx="1" presStyleCnt="5">
        <dgm:presLayoutVars>
          <dgm:bulletEnabled val="1"/>
        </dgm:presLayoutVars>
      </dgm:prSet>
      <dgm:spPr/>
      <dgm:t>
        <a:bodyPr/>
        <a:lstStyle/>
        <a:p>
          <a:endParaRPr lang="en-US"/>
        </a:p>
      </dgm:t>
    </dgm:pt>
    <dgm:pt modelId="{E1662A76-FE5C-4EAD-BBA8-F9E73A7BC412}" type="pres">
      <dgm:prSet presAssocID="{180FB7E6-9654-45AA-A256-69AD797601FF}" presName="sibTrans" presStyleLbl="sibTrans2D1" presStyleIdx="1" presStyleCnt="5"/>
      <dgm:spPr/>
      <dgm:t>
        <a:bodyPr/>
        <a:lstStyle/>
        <a:p>
          <a:endParaRPr lang="en-US"/>
        </a:p>
      </dgm:t>
    </dgm:pt>
    <dgm:pt modelId="{F6044597-7D90-4EE5-BBE0-AEE13096B19C}" type="pres">
      <dgm:prSet presAssocID="{180FB7E6-9654-45AA-A256-69AD797601FF}" presName="connectorText" presStyleLbl="sibTrans2D1" presStyleIdx="1" presStyleCnt="5"/>
      <dgm:spPr/>
      <dgm:t>
        <a:bodyPr/>
        <a:lstStyle/>
        <a:p>
          <a:endParaRPr lang="en-US"/>
        </a:p>
      </dgm:t>
    </dgm:pt>
    <dgm:pt modelId="{364D3A0D-9FC1-4CC6-A5D4-77BC33ACA17A}" type="pres">
      <dgm:prSet presAssocID="{89EB23F4-0606-426D-A63A-473340BA9614}" presName="node" presStyleLbl="node1" presStyleIdx="2" presStyleCnt="5">
        <dgm:presLayoutVars>
          <dgm:bulletEnabled val="1"/>
        </dgm:presLayoutVars>
      </dgm:prSet>
      <dgm:spPr/>
      <dgm:t>
        <a:bodyPr/>
        <a:lstStyle/>
        <a:p>
          <a:endParaRPr lang="en-US"/>
        </a:p>
      </dgm:t>
    </dgm:pt>
    <dgm:pt modelId="{5B6947D5-EB05-44BD-AE56-A7D54F2BAB7F}" type="pres">
      <dgm:prSet presAssocID="{CB64A36A-A068-46E0-8977-C0D81CD46CD6}" presName="sibTrans" presStyleLbl="sibTrans2D1" presStyleIdx="2" presStyleCnt="5"/>
      <dgm:spPr/>
      <dgm:t>
        <a:bodyPr/>
        <a:lstStyle/>
        <a:p>
          <a:endParaRPr lang="en-US"/>
        </a:p>
      </dgm:t>
    </dgm:pt>
    <dgm:pt modelId="{9E2D4A5B-4F0B-4177-89E7-51E76D9AC930}" type="pres">
      <dgm:prSet presAssocID="{CB64A36A-A068-46E0-8977-C0D81CD46CD6}" presName="connectorText" presStyleLbl="sibTrans2D1" presStyleIdx="2" presStyleCnt="5"/>
      <dgm:spPr/>
      <dgm:t>
        <a:bodyPr/>
        <a:lstStyle/>
        <a:p>
          <a:endParaRPr lang="en-US"/>
        </a:p>
      </dgm:t>
    </dgm:pt>
    <dgm:pt modelId="{7033E083-9673-49FF-8EA4-654F649C8C0E}" type="pres">
      <dgm:prSet presAssocID="{40013EC2-3FA3-485B-8A9F-38BA216CA8B8}" presName="node" presStyleLbl="node1" presStyleIdx="3" presStyleCnt="5">
        <dgm:presLayoutVars>
          <dgm:bulletEnabled val="1"/>
        </dgm:presLayoutVars>
      </dgm:prSet>
      <dgm:spPr/>
      <dgm:t>
        <a:bodyPr/>
        <a:lstStyle/>
        <a:p>
          <a:endParaRPr lang="en-US"/>
        </a:p>
      </dgm:t>
    </dgm:pt>
    <dgm:pt modelId="{E12207DC-47CD-4B9E-B6DC-65DD372848E5}" type="pres">
      <dgm:prSet presAssocID="{6D22871B-7DFB-453D-81F8-0C29037137B8}" presName="sibTrans" presStyleLbl="sibTrans2D1" presStyleIdx="3" presStyleCnt="5"/>
      <dgm:spPr/>
      <dgm:t>
        <a:bodyPr/>
        <a:lstStyle/>
        <a:p>
          <a:endParaRPr lang="en-US"/>
        </a:p>
      </dgm:t>
    </dgm:pt>
    <dgm:pt modelId="{88C963E1-1A92-4452-A612-DA9B5F6A5142}" type="pres">
      <dgm:prSet presAssocID="{6D22871B-7DFB-453D-81F8-0C29037137B8}" presName="connectorText" presStyleLbl="sibTrans2D1" presStyleIdx="3" presStyleCnt="5"/>
      <dgm:spPr/>
      <dgm:t>
        <a:bodyPr/>
        <a:lstStyle/>
        <a:p>
          <a:endParaRPr lang="en-US"/>
        </a:p>
      </dgm:t>
    </dgm:pt>
    <dgm:pt modelId="{A45C8B43-36DE-4BDD-8275-97B691CA2908}" type="pres">
      <dgm:prSet presAssocID="{7A7731C0-58B6-454A-BF49-86F274E5FFCD}" presName="node" presStyleLbl="node1" presStyleIdx="4" presStyleCnt="5">
        <dgm:presLayoutVars>
          <dgm:bulletEnabled val="1"/>
        </dgm:presLayoutVars>
      </dgm:prSet>
      <dgm:spPr/>
      <dgm:t>
        <a:bodyPr/>
        <a:lstStyle/>
        <a:p>
          <a:endParaRPr lang="en-US"/>
        </a:p>
      </dgm:t>
    </dgm:pt>
    <dgm:pt modelId="{3C5D36C6-7EB6-428C-A84C-998F05DB4B5C}" type="pres">
      <dgm:prSet presAssocID="{0D0A9BE3-E05D-4616-A39C-26AF7A9CA887}" presName="sibTrans" presStyleLbl="sibTrans2D1" presStyleIdx="4" presStyleCnt="5"/>
      <dgm:spPr/>
      <dgm:t>
        <a:bodyPr/>
        <a:lstStyle/>
        <a:p>
          <a:endParaRPr lang="en-US"/>
        </a:p>
      </dgm:t>
    </dgm:pt>
    <dgm:pt modelId="{A0AEC894-2BA0-4576-8010-325E55A77232}" type="pres">
      <dgm:prSet presAssocID="{0D0A9BE3-E05D-4616-A39C-26AF7A9CA887}" presName="connectorText" presStyleLbl="sibTrans2D1" presStyleIdx="4" presStyleCnt="5"/>
      <dgm:spPr/>
      <dgm:t>
        <a:bodyPr/>
        <a:lstStyle/>
        <a:p>
          <a:endParaRPr lang="en-US"/>
        </a:p>
      </dgm:t>
    </dgm:pt>
  </dgm:ptLst>
  <dgm:cxnLst>
    <dgm:cxn modelId="{2FF5B2B6-7BCC-4EB5-8D3A-8872D8FA635F}" type="presOf" srcId="{0EF928D9-947F-4FBA-91B9-92F8E4E56F7C}" destId="{1D1ADB01-6436-4803-B0AC-DDF782BB4DA7}" srcOrd="0" destOrd="0" presId="urn:microsoft.com/office/officeart/2005/8/layout/cycle2"/>
    <dgm:cxn modelId="{4AE393C6-9B6D-4854-8CF1-6044B29D5DEA}" type="presOf" srcId="{0D0A9BE3-E05D-4616-A39C-26AF7A9CA887}" destId="{3C5D36C6-7EB6-428C-A84C-998F05DB4B5C}" srcOrd="0" destOrd="0" presId="urn:microsoft.com/office/officeart/2005/8/layout/cycle2"/>
    <dgm:cxn modelId="{418CA8DD-0D91-441B-9F66-C43FFE8CF640}" type="presOf" srcId="{CB64A36A-A068-46E0-8977-C0D81CD46CD6}" destId="{5B6947D5-EB05-44BD-AE56-A7D54F2BAB7F}" srcOrd="0" destOrd="0" presId="urn:microsoft.com/office/officeart/2005/8/layout/cycle2"/>
    <dgm:cxn modelId="{1007C9D6-1CB5-431D-8262-9736BD1F2015}" type="presOf" srcId="{7A7731C0-58B6-454A-BF49-86F274E5FFCD}" destId="{A45C8B43-36DE-4BDD-8275-97B691CA2908}" srcOrd="0" destOrd="0" presId="urn:microsoft.com/office/officeart/2005/8/layout/cycle2"/>
    <dgm:cxn modelId="{D712C956-7ED4-4E4E-BE03-42746A5CEF73}" type="presOf" srcId="{C3FEC0C4-7341-4275-9246-7646D6C2818D}" destId="{089CDA05-5A5E-4BAF-9E96-013D89EF89F3}" srcOrd="0" destOrd="0" presId="urn:microsoft.com/office/officeart/2005/8/layout/cycle2"/>
    <dgm:cxn modelId="{1FDF6354-48D6-4E67-975B-78597D461B70}" type="presOf" srcId="{C3FEC0C4-7341-4275-9246-7646D6C2818D}" destId="{230A1771-D8B7-4850-95CF-19EE25D6D56F}" srcOrd="1" destOrd="0" presId="urn:microsoft.com/office/officeart/2005/8/layout/cycle2"/>
    <dgm:cxn modelId="{03A342FB-677E-4310-A1AD-020D6DA8563F}" srcId="{6D9B1E01-DF20-4C42-96E6-AEEA50507B9E}" destId="{40013EC2-3FA3-485B-8A9F-38BA216CA8B8}" srcOrd="3" destOrd="0" parTransId="{6AC9091A-57D5-4817-970F-2A04DFA1CD28}" sibTransId="{6D22871B-7DFB-453D-81F8-0C29037137B8}"/>
    <dgm:cxn modelId="{D054349F-9B72-40FD-B245-F51A3BCED8F7}" srcId="{6D9B1E01-DF20-4C42-96E6-AEEA50507B9E}" destId="{89EB23F4-0606-426D-A63A-473340BA9614}" srcOrd="2" destOrd="0" parTransId="{02F13F64-C00A-4262-AD17-B79313AC9A12}" sibTransId="{CB64A36A-A068-46E0-8977-C0D81CD46CD6}"/>
    <dgm:cxn modelId="{DA4585CB-17FF-4DF8-9257-17167BBCCCBF}" srcId="{6D9B1E01-DF20-4C42-96E6-AEEA50507B9E}" destId="{BA734FE4-C889-4CE1-90F5-55A9B0A26FFF}" srcOrd="0" destOrd="0" parTransId="{E1C492B9-8307-4D8C-9929-55F2CDF80FBA}" sibTransId="{C3FEC0C4-7341-4275-9246-7646D6C2818D}"/>
    <dgm:cxn modelId="{0680215D-0013-4055-863F-11A098026154}" type="presOf" srcId="{89EB23F4-0606-426D-A63A-473340BA9614}" destId="{364D3A0D-9FC1-4CC6-A5D4-77BC33ACA17A}" srcOrd="0" destOrd="0" presId="urn:microsoft.com/office/officeart/2005/8/layout/cycle2"/>
    <dgm:cxn modelId="{767D8427-DF8C-4798-BA10-DD01F4F9CBFC}" type="presOf" srcId="{6D22871B-7DFB-453D-81F8-0C29037137B8}" destId="{88C963E1-1A92-4452-A612-DA9B5F6A5142}" srcOrd="1" destOrd="0" presId="urn:microsoft.com/office/officeart/2005/8/layout/cycle2"/>
    <dgm:cxn modelId="{CACCFCF9-3E7D-4A0F-A4B3-C84D88B17046}" type="presOf" srcId="{6D22871B-7DFB-453D-81F8-0C29037137B8}" destId="{E12207DC-47CD-4B9E-B6DC-65DD372848E5}" srcOrd="0" destOrd="0" presId="urn:microsoft.com/office/officeart/2005/8/layout/cycle2"/>
    <dgm:cxn modelId="{3784709D-D37F-4448-9C9B-5504F6C09882}" type="presOf" srcId="{180FB7E6-9654-45AA-A256-69AD797601FF}" destId="{E1662A76-FE5C-4EAD-BBA8-F9E73A7BC412}" srcOrd="0" destOrd="0" presId="urn:microsoft.com/office/officeart/2005/8/layout/cycle2"/>
    <dgm:cxn modelId="{EE268061-77D4-4FDD-A018-5F6BD8D2F3EC}" type="presOf" srcId="{180FB7E6-9654-45AA-A256-69AD797601FF}" destId="{F6044597-7D90-4EE5-BBE0-AEE13096B19C}" srcOrd="1" destOrd="0" presId="urn:microsoft.com/office/officeart/2005/8/layout/cycle2"/>
    <dgm:cxn modelId="{AAA4B694-5AF7-429A-9D2D-9074175AB8C0}" srcId="{6D9B1E01-DF20-4C42-96E6-AEEA50507B9E}" destId="{0EF928D9-947F-4FBA-91B9-92F8E4E56F7C}" srcOrd="1" destOrd="0" parTransId="{9DFC5A9B-9343-4C34-8E98-3351BAD8DFA2}" sibTransId="{180FB7E6-9654-45AA-A256-69AD797601FF}"/>
    <dgm:cxn modelId="{31F600D1-CCDE-4D4E-A6D4-51BB1CB64478}" srcId="{6D9B1E01-DF20-4C42-96E6-AEEA50507B9E}" destId="{7A7731C0-58B6-454A-BF49-86F274E5FFCD}" srcOrd="4" destOrd="0" parTransId="{F3BE8EB4-2EA0-478B-B677-28EE7BD27E8E}" sibTransId="{0D0A9BE3-E05D-4616-A39C-26AF7A9CA887}"/>
    <dgm:cxn modelId="{DCD5A418-A265-47CB-932A-F50E5CFBBC07}" type="presOf" srcId="{0D0A9BE3-E05D-4616-A39C-26AF7A9CA887}" destId="{A0AEC894-2BA0-4576-8010-325E55A77232}" srcOrd="1" destOrd="0" presId="urn:microsoft.com/office/officeart/2005/8/layout/cycle2"/>
    <dgm:cxn modelId="{A18BB712-7707-4B89-825F-00EEE5B586F6}" type="presOf" srcId="{6D9B1E01-DF20-4C42-96E6-AEEA50507B9E}" destId="{5490456F-BAB3-431E-97D0-0CA9E2D6C8D2}" srcOrd="0" destOrd="0" presId="urn:microsoft.com/office/officeart/2005/8/layout/cycle2"/>
    <dgm:cxn modelId="{245A3FB4-EC75-4752-B899-1AE9D7745243}" type="presOf" srcId="{CB64A36A-A068-46E0-8977-C0D81CD46CD6}" destId="{9E2D4A5B-4F0B-4177-89E7-51E76D9AC930}" srcOrd="1" destOrd="0" presId="urn:microsoft.com/office/officeart/2005/8/layout/cycle2"/>
    <dgm:cxn modelId="{7EDCAE81-47B2-4DCF-9160-224D1D237F3C}" type="presOf" srcId="{40013EC2-3FA3-485B-8A9F-38BA216CA8B8}" destId="{7033E083-9673-49FF-8EA4-654F649C8C0E}" srcOrd="0" destOrd="0" presId="urn:microsoft.com/office/officeart/2005/8/layout/cycle2"/>
    <dgm:cxn modelId="{42DA57D8-9CC8-4339-BC97-D2A97AC64123}" type="presOf" srcId="{BA734FE4-C889-4CE1-90F5-55A9B0A26FFF}" destId="{EC8428D3-B60B-48A4-8D73-8A83910D84B6}" srcOrd="0" destOrd="0" presId="urn:microsoft.com/office/officeart/2005/8/layout/cycle2"/>
    <dgm:cxn modelId="{EBE0783A-5259-4856-8E8E-D628E1626360}" type="presParOf" srcId="{5490456F-BAB3-431E-97D0-0CA9E2D6C8D2}" destId="{EC8428D3-B60B-48A4-8D73-8A83910D84B6}" srcOrd="0" destOrd="0" presId="urn:microsoft.com/office/officeart/2005/8/layout/cycle2"/>
    <dgm:cxn modelId="{FCF6C76C-7779-465E-9F4A-CBDC029DF9DE}" type="presParOf" srcId="{5490456F-BAB3-431E-97D0-0CA9E2D6C8D2}" destId="{089CDA05-5A5E-4BAF-9E96-013D89EF89F3}" srcOrd="1" destOrd="0" presId="urn:microsoft.com/office/officeart/2005/8/layout/cycle2"/>
    <dgm:cxn modelId="{55B4E113-5231-47BB-8530-1F08DE588DED}" type="presParOf" srcId="{089CDA05-5A5E-4BAF-9E96-013D89EF89F3}" destId="{230A1771-D8B7-4850-95CF-19EE25D6D56F}" srcOrd="0" destOrd="0" presId="urn:microsoft.com/office/officeart/2005/8/layout/cycle2"/>
    <dgm:cxn modelId="{C68A5CC1-C54D-488D-9E49-A8333A1A7836}" type="presParOf" srcId="{5490456F-BAB3-431E-97D0-0CA9E2D6C8D2}" destId="{1D1ADB01-6436-4803-B0AC-DDF782BB4DA7}" srcOrd="2" destOrd="0" presId="urn:microsoft.com/office/officeart/2005/8/layout/cycle2"/>
    <dgm:cxn modelId="{2D986535-D1BD-4DEA-8943-83F923A7A545}" type="presParOf" srcId="{5490456F-BAB3-431E-97D0-0CA9E2D6C8D2}" destId="{E1662A76-FE5C-4EAD-BBA8-F9E73A7BC412}" srcOrd="3" destOrd="0" presId="urn:microsoft.com/office/officeart/2005/8/layout/cycle2"/>
    <dgm:cxn modelId="{996FDF1F-0BB4-439D-B6EC-EBAA22473CF5}" type="presParOf" srcId="{E1662A76-FE5C-4EAD-BBA8-F9E73A7BC412}" destId="{F6044597-7D90-4EE5-BBE0-AEE13096B19C}" srcOrd="0" destOrd="0" presId="urn:microsoft.com/office/officeart/2005/8/layout/cycle2"/>
    <dgm:cxn modelId="{8CA7E9DA-45CE-494B-9C86-613CE57F3549}" type="presParOf" srcId="{5490456F-BAB3-431E-97D0-0CA9E2D6C8D2}" destId="{364D3A0D-9FC1-4CC6-A5D4-77BC33ACA17A}" srcOrd="4" destOrd="0" presId="urn:microsoft.com/office/officeart/2005/8/layout/cycle2"/>
    <dgm:cxn modelId="{2F400A27-EDE6-4B2A-AD9B-E70EDE19BD69}" type="presParOf" srcId="{5490456F-BAB3-431E-97D0-0CA9E2D6C8D2}" destId="{5B6947D5-EB05-44BD-AE56-A7D54F2BAB7F}" srcOrd="5" destOrd="0" presId="urn:microsoft.com/office/officeart/2005/8/layout/cycle2"/>
    <dgm:cxn modelId="{02EB8300-6612-4BA6-B1A5-98E007A3E1C7}" type="presParOf" srcId="{5B6947D5-EB05-44BD-AE56-A7D54F2BAB7F}" destId="{9E2D4A5B-4F0B-4177-89E7-51E76D9AC930}" srcOrd="0" destOrd="0" presId="urn:microsoft.com/office/officeart/2005/8/layout/cycle2"/>
    <dgm:cxn modelId="{6D9560FB-9618-4EED-A094-52D8EF78525C}" type="presParOf" srcId="{5490456F-BAB3-431E-97D0-0CA9E2D6C8D2}" destId="{7033E083-9673-49FF-8EA4-654F649C8C0E}" srcOrd="6" destOrd="0" presId="urn:microsoft.com/office/officeart/2005/8/layout/cycle2"/>
    <dgm:cxn modelId="{7C18C1F3-4846-4CAC-BEAC-8475DA3B5984}" type="presParOf" srcId="{5490456F-BAB3-431E-97D0-0CA9E2D6C8D2}" destId="{E12207DC-47CD-4B9E-B6DC-65DD372848E5}" srcOrd="7" destOrd="0" presId="urn:microsoft.com/office/officeart/2005/8/layout/cycle2"/>
    <dgm:cxn modelId="{1F41AA70-AD30-4A09-BB9E-F010F4C8781F}" type="presParOf" srcId="{E12207DC-47CD-4B9E-B6DC-65DD372848E5}" destId="{88C963E1-1A92-4452-A612-DA9B5F6A5142}" srcOrd="0" destOrd="0" presId="urn:microsoft.com/office/officeart/2005/8/layout/cycle2"/>
    <dgm:cxn modelId="{EAA9A1A3-AFCD-4A0F-A2D8-7E1A76F97DEA}" type="presParOf" srcId="{5490456F-BAB3-431E-97D0-0CA9E2D6C8D2}" destId="{A45C8B43-36DE-4BDD-8275-97B691CA2908}" srcOrd="8" destOrd="0" presId="urn:microsoft.com/office/officeart/2005/8/layout/cycle2"/>
    <dgm:cxn modelId="{3FA62E5D-61B3-4453-B062-183B5994B85E}" type="presParOf" srcId="{5490456F-BAB3-431E-97D0-0CA9E2D6C8D2}" destId="{3C5D36C6-7EB6-428C-A84C-998F05DB4B5C}" srcOrd="9" destOrd="0" presId="urn:microsoft.com/office/officeart/2005/8/layout/cycle2"/>
    <dgm:cxn modelId="{09B1D7F7-8636-4028-9F56-8A2DDE04BE16}" type="presParOf" srcId="{3C5D36C6-7EB6-428C-A84C-998F05DB4B5C}" destId="{A0AEC894-2BA0-4576-8010-325E55A77232}"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428D3-B60B-48A4-8D73-8A83910D84B6}">
      <dsp:nvSpPr>
        <dsp:cNvPr id="0" name=""/>
        <dsp:cNvSpPr/>
      </dsp:nvSpPr>
      <dsp:spPr>
        <a:xfrm>
          <a:off x="2256337" y="337"/>
          <a:ext cx="798795" cy="79879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Eudcation</a:t>
          </a:r>
        </a:p>
      </dsp:txBody>
      <dsp:txXfrm>
        <a:off x="2373318" y="117318"/>
        <a:ext cx="564833" cy="564833"/>
      </dsp:txXfrm>
    </dsp:sp>
    <dsp:sp modelId="{089CDA05-5A5E-4BAF-9E96-013D89EF89F3}">
      <dsp:nvSpPr>
        <dsp:cNvPr id="0" name=""/>
        <dsp:cNvSpPr/>
      </dsp:nvSpPr>
      <dsp:spPr>
        <a:xfrm rot="2160000">
          <a:off x="3030098" y="614387"/>
          <a:ext cx="213225" cy="2695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036206" y="649507"/>
        <a:ext cx="149258" cy="161755"/>
      </dsp:txXfrm>
    </dsp:sp>
    <dsp:sp modelId="{1D1ADB01-6436-4803-B0AC-DDF782BB4DA7}">
      <dsp:nvSpPr>
        <dsp:cNvPr id="0" name=""/>
        <dsp:cNvSpPr/>
      </dsp:nvSpPr>
      <dsp:spPr>
        <a:xfrm>
          <a:off x="3228053" y="706330"/>
          <a:ext cx="798795" cy="79879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Health</a:t>
          </a:r>
        </a:p>
      </dsp:txBody>
      <dsp:txXfrm>
        <a:off x="3345034" y="823311"/>
        <a:ext cx="564833" cy="564833"/>
      </dsp:txXfrm>
    </dsp:sp>
    <dsp:sp modelId="{E1662A76-FE5C-4EAD-BBA8-F9E73A7BC412}">
      <dsp:nvSpPr>
        <dsp:cNvPr id="0" name=""/>
        <dsp:cNvSpPr/>
      </dsp:nvSpPr>
      <dsp:spPr>
        <a:xfrm rot="6480000">
          <a:off x="3337122" y="1536352"/>
          <a:ext cx="213225" cy="2695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3378989" y="1559853"/>
        <a:ext cx="149258" cy="161755"/>
      </dsp:txXfrm>
    </dsp:sp>
    <dsp:sp modelId="{364D3A0D-9FC1-4CC6-A5D4-77BC33ACA17A}">
      <dsp:nvSpPr>
        <dsp:cNvPr id="0" name=""/>
        <dsp:cNvSpPr/>
      </dsp:nvSpPr>
      <dsp:spPr>
        <a:xfrm>
          <a:off x="2856891" y="1848651"/>
          <a:ext cx="798795" cy="79879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Community</a:t>
          </a:r>
        </a:p>
      </dsp:txBody>
      <dsp:txXfrm>
        <a:off x="2973872" y="1965632"/>
        <a:ext cx="564833" cy="564833"/>
      </dsp:txXfrm>
    </dsp:sp>
    <dsp:sp modelId="{5B6947D5-EB05-44BD-AE56-A7D54F2BAB7F}">
      <dsp:nvSpPr>
        <dsp:cNvPr id="0" name=""/>
        <dsp:cNvSpPr/>
      </dsp:nvSpPr>
      <dsp:spPr>
        <a:xfrm rot="10800000">
          <a:off x="2555157" y="2113252"/>
          <a:ext cx="213225" cy="2695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619124" y="2167171"/>
        <a:ext cx="149258" cy="161755"/>
      </dsp:txXfrm>
    </dsp:sp>
    <dsp:sp modelId="{7033E083-9673-49FF-8EA4-654F649C8C0E}">
      <dsp:nvSpPr>
        <dsp:cNvPr id="0" name=""/>
        <dsp:cNvSpPr/>
      </dsp:nvSpPr>
      <dsp:spPr>
        <a:xfrm>
          <a:off x="1655784" y="1848651"/>
          <a:ext cx="798795" cy="79879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Nutrition</a:t>
          </a:r>
        </a:p>
      </dsp:txBody>
      <dsp:txXfrm>
        <a:off x="1772765" y="1965632"/>
        <a:ext cx="564833" cy="564833"/>
      </dsp:txXfrm>
    </dsp:sp>
    <dsp:sp modelId="{E12207DC-47CD-4B9E-B6DC-65DD372848E5}">
      <dsp:nvSpPr>
        <dsp:cNvPr id="0" name=""/>
        <dsp:cNvSpPr/>
      </dsp:nvSpPr>
      <dsp:spPr>
        <a:xfrm rot="15120000">
          <a:off x="1764852" y="1547831"/>
          <a:ext cx="213225" cy="2695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1806719" y="1632168"/>
        <a:ext cx="149258" cy="161755"/>
      </dsp:txXfrm>
    </dsp:sp>
    <dsp:sp modelId="{A45C8B43-36DE-4BDD-8275-97B691CA2908}">
      <dsp:nvSpPr>
        <dsp:cNvPr id="0" name=""/>
        <dsp:cNvSpPr/>
      </dsp:nvSpPr>
      <dsp:spPr>
        <a:xfrm>
          <a:off x="1284621" y="706330"/>
          <a:ext cx="798795" cy="79879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Training</a:t>
          </a:r>
        </a:p>
      </dsp:txBody>
      <dsp:txXfrm>
        <a:off x="1401602" y="823311"/>
        <a:ext cx="564833" cy="564833"/>
      </dsp:txXfrm>
    </dsp:sp>
    <dsp:sp modelId="{3C5D36C6-7EB6-428C-A84C-998F05DB4B5C}">
      <dsp:nvSpPr>
        <dsp:cNvPr id="0" name=""/>
        <dsp:cNvSpPr/>
      </dsp:nvSpPr>
      <dsp:spPr>
        <a:xfrm rot="19440000">
          <a:off x="2058382" y="621481"/>
          <a:ext cx="213225" cy="2695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064490" y="694199"/>
        <a:ext cx="149258" cy="161755"/>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3DF57-E883-4EEC-AABA-5ECE5220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49</Pages>
  <Words>12085</Words>
  <Characters>68885</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Bevier</dc:creator>
  <cp:lastModifiedBy>Marcus Bevier</cp:lastModifiedBy>
  <cp:revision>8</cp:revision>
  <cp:lastPrinted>2015-03-27T21:28:00Z</cp:lastPrinted>
  <dcterms:created xsi:type="dcterms:W3CDTF">2015-04-07T20:52:00Z</dcterms:created>
  <dcterms:modified xsi:type="dcterms:W3CDTF">2015-04-15T21:02:00Z</dcterms:modified>
</cp:coreProperties>
</file>